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D318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D318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26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475C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июня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7F6B33" w:rsidRPr="0027153A" w:rsidRDefault="007F6B33" w:rsidP="007F6B33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DE5AE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F6B33" w:rsidRPr="007F6B33" w:rsidRDefault="007F6B33" w:rsidP="007F6B33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DE5AEB">
        <w:trPr>
          <w:trHeight w:val="411"/>
        </w:trPr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 w:rsidP="00DE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7F6B33" w:rsidRPr="0027153A" w:rsidRDefault="00DE5AEB" w:rsidP="007F6B3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разработке проектной документации (в объеме рабочей документации)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  <w:proofErr w:type="gramEnd"/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60317C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DB56AF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B56AF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8-905-998-09-87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7F6B33">
              <w:rPr>
                <w:rFonts w:ascii="Times New Roman" w:hAnsi="Times New Roman"/>
                <w:sz w:val="24"/>
                <w:szCs w:val="24"/>
              </w:rPr>
              <w:t>0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ремонт 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r w:rsidR="007F6B33">
              <w:rPr>
                <w:rFonts w:ascii="Times New Roman" w:hAnsi="Times New Roman"/>
                <w:sz w:val="24"/>
                <w:szCs w:val="24"/>
              </w:rPr>
              <w:t xml:space="preserve">(ремонт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56AF">
              <w:rPr>
                <w:rFonts w:ascii="Times New Roman" w:hAnsi="Times New Roman" w:cs="Times New Roman"/>
                <w:bCs/>
                <w:sz w:val="26"/>
                <w:szCs w:val="26"/>
              </w:rPr>
              <w:t>400 976,40</w:t>
            </w:r>
            <w:r w:rsidR="00EA42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работ по капитальному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 xml:space="preserve"> ремонту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  <w:r w:rsidR="00DB56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Оплата </w:t>
            </w:r>
            <w:proofErr w:type="gramStart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</w:t>
            </w:r>
            <w:proofErr w:type="gramEnd"/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финансирования:</w:t>
            </w:r>
          </w:p>
        </w:tc>
        <w:tc>
          <w:tcPr>
            <w:tcW w:w="6583" w:type="dxa"/>
          </w:tcPr>
          <w:p w:rsidR="00DE7772" w:rsidRPr="00145529" w:rsidRDefault="00835F36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D31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31865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D31865" w:rsidP="00D318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D31865" w:rsidP="00D318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D31865" w:rsidP="005B7ED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bookmarkStart w:id="0" w:name="_GoBack"/>
            <w:bookmarkEnd w:id="0"/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Участник закупки подает в письменной форме заявку на участие в конкурсе в запечатанном конверте, не позволяющем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участие в конкурсе которого</w:t>
            </w:r>
            <w:r w:rsidR="00DB56A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38AA"/>
    <w:rsid w:val="00475C65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317C"/>
    <w:rsid w:val="00605F6E"/>
    <w:rsid w:val="006300A0"/>
    <w:rsid w:val="0063081A"/>
    <w:rsid w:val="00634220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E494D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08F8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1865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56AF"/>
    <w:rsid w:val="00DB60A4"/>
    <w:rsid w:val="00DD6B1E"/>
    <w:rsid w:val="00DE34F1"/>
    <w:rsid w:val="00DE5AEB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A429E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EE71-3106-48C8-8EA2-6EE84693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8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265</cp:revision>
  <cp:lastPrinted>2025-06-05T05:09:00Z</cp:lastPrinted>
  <dcterms:created xsi:type="dcterms:W3CDTF">2017-04-17T05:53:00Z</dcterms:created>
  <dcterms:modified xsi:type="dcterms:W3CDTF">2025-06-26T07:32:00Z</dcterms:modified>
</cp:coreProperties>
</file>