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5C446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21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5C446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8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116514"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января</w:t>
      </w:r>
      <w:r w:rsidR="00116514"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21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5C446B" w:rsidRPr="00C86051" w:rsidRDefault="005C446B" w:rsidP="005C446B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35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капитального </w:t>
      </w:r>
      <w:r w:rsidRPr="009C56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ремонта системы теплоснабжения,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 в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году.</w:t>
      </w: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5C446B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5C446B" w:rsidRPr="005C446B" w:rsidRDefault="00973D4A" w:rsidP="005C446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5F5048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="007624E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капитально</w:t>
            </w:r>
            <w:r w:rsid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446B" w:rsidRP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r w:rsidR="005C446B" w:rsidRP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C446B" w:rsidRP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теплоснабжения, в многоквартирных домах в 2021году.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162387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Жилые многоквартирные </w:t>
            </w: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дома</w:t>
            </w:r>
            <w:proofErr w:type="gramEnd"/>
            <w:r w:rsidR="00116514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5C446B" w:rsidRDefault="005C446B" w:rsidP="005C446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r w:rsidRPr="005C446B">
              <w:rPr>
                <w:rFonts w:ascii="Times New Roman" w:hAnsi="Times New Roman"/>
                <w:sz w:val="26"/>
                <w:szCs w:val="26"/>
              </w:rPr>
              <w:t>Красноярская д.1</w:t>
            </w:r>
          </w:p>
          <w:p w:rsidR="00332176" w:rsidRPr="00145529" w:rsidRDefault="00D5230A" w:rsidP="005C446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145529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r w:rsidR="005C446B" w:rsidRPr="005C446B">
              <w:rPr>
                <w:rFonts w:ascii="Times New Roman" w:hAnsi="Times New Roman"/>
                <w:sz w:val="26"/>
                <w:szCs w:val="26"/>
              </w:rPr>
              <w:t>Набережная Урванцева д.5</w:t>
            </w:r>
          </w:p>
          <w:p w:rsidR="00FF11C8" w:rsidRPr="001269C0" w:rsidRDefault="00FF11C8" w:rsidP="005C446B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завершения работ:</w:t>
            </w:r>
          </w:p>
        </w:tc>
        <w:tc>
          <w:tcPr>
            <w:tcW w:w="6583" w:type="dxa"/>
          </w:tcPr>
          <w:p w:rsidR="00F75FFF" w:rsidRPr="00145529" w:rsidRDefault="00F75FFF" w:rsidP="005C44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446B"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  <w:r w:rsidR="00C27611" w:rsidRPr="00C2761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D40E8" w:rsidRPr="00C276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Pr="00145529" w:rsidRDefault="00A02E64" w:rsidP="005C44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C446B">
              <w:rPr>
                <w:rFonts w:ascii="Times New Roman" w:hAnsi="Times New Roman" w:cs="Times New Roman"/>
                <w:b/>
                <w:bCs/>
              </w:rPr>
              <w:t>4 002 867,60</w:t>
            </w:r>
            <w:r w:rsidR="001A2F1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рублей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B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21092" w:rsidRPr="000A2F9A" w:rsidRDefault="00CA1F10" w:rsidP="00162387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r w:rsidR="000A2F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End"/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1269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A360B8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21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1623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1623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конкурсе (по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местному времени):</w:t>
            </w:r>
          </w:p>
        </w:tc>
        <w:tc>
          <w:tcPr>
            <w:tcW w:w="6583" w:type="dxa"/>
          </w:tcPr>
          <w:p w:rsidR="00CA1F10" w:rsidRPr="00145529" w:rsidRDefault="00162387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162387" w:rsidP="001269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162387" w:rsidP="0068339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</w:t>
            </w:r>
            <w:r w:rsidR="00E8416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Конверт с заявкой участника закупки на участие в конкурсе,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0" w:name="bookmark1"/>
            <w:bookmarkEnd w:id="0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</w:t>
            </w: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сведений об участниках закупки в реестре недобросовестных поставщиков,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2"/>
            <w:bookmarkEnd w:id="1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B04AD6" w:rsidRPr="00145529" w:rsidRDefault="00B04AD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Вскрытие конвертов сопровождается аудиозаписью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3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По результатам конкурса договор заключается на условиях, 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lastRenderedPageBreak/>
              <w:t>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окончании срока подачи заявок на участие в конкурсе подана только одна заявка, при этом такая заявка признана </w:t>
            </w:r>
            <w:bookmarkStart w:id="3" w:name="_GoBack"/>
            <w:bookmarkEnd w:id="3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17C85"/>
    <w:rsid w:val="000516BF"/>
    <w:rsid w:val="000601A0"/>
    <w:rsid w:val="00070422"/>
    <w:rsid w:val="0007649A"/>
    <w:rsid w:val="000A2F9A"/>
    <w:rsid w:val="000A79F7"/>
    <w:rsid w:val="000B285A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446A"/>
    <w:rsid w:val="001420EE"/>
    <w:rsid w:val="00145529"/>
    <w:rsid w:val="0015664A"/>
    <w:rsid w:val="001601AE"/>
    <w:rsid w:val="00162387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F28B0"/>
    <w:rsid w:val="00200E60"/>
    <w:rsid w:val="002134AA"/>
    <w:rsid w:val="002206BF"/>
    <w:rsid w:val="00225C09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21295"/>
    <w:rsid w:val="004266C0"/>
    <w:rsid w:val="00426DBE"/>
    <w:rsid w:val="00437A82"/>
    <w:rsid w:val="00466F34"/>
    <w:rsid w:val="004738AA"/>
    <w:rsid w:val="00487784"/>
    <w:rsid w:val="00487A2C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C29DD"/>
    <w:rsid w:val="005C446B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737CC"/>
    <w:rsid w:val="007850F7"/>
    <w:rsid w:val="00787D7C"/>
    <w:rsid w:val="007A5D9A"/>
    <w:rsid w:val="007A7F3B"/>
    <w:rsid w:val="007B6F5C"/>
    <w:rsid w:val="007C614D"/>
    <w:rsid w:val="007C728E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B283A"/>
    <w:rsid w:val="008C5404"/>
    <w:rsid w:val="008D0426"/>
    <w:rsid w:val="008E2506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8350B"/>
    <w:rsid w:val="00E84167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ADC79-2EAC-4080-866D-8E791472B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7</Pages>
  <Words>2509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232</cp:revision>
  <cp:lastPrinted>2019-08-01T07:14:00Z</cp:lastPrinted>
  <dcterms:created xsi:type="dcterms:W3CDTF">2017-04-17T05:53:00Z</dcterms:created>
  <dcterms:modified xsi:type="dcterms:W3CDTF">2021-01-27T05:12:00Z</dcterms:modified>
</cp:coreProperties>
</file>