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A37255" w:rsidP="005F04E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w:t>
            </w:r>
            <w:r w:rsidR="0017086B" w:rsidRPr="00A84983">
              <w:rPr>
                <w:rFonts w:ascii="Times New Roman" w:eastAsia="Times New Roman" w:hAnsi="Times New Roman" w:cs="Times New Roman"/>
                <w:lang w:eastAsia="ru-RU"/>
              </w:rPr>
              <w:t>енеральн</w:t>
            </w:r>
            <w:r>
              <w:rPr>
                <w:rFonts w:ascii="Times New Roman" w:eastAsia="Times New Roman" w:hAnsi="Times New Roman" w:cs="Times New Roman"/>
                <w:lang w:eastAsia="ru-RU"/>
              </w:rPr>
              <w:t>ый</w:t>
            </w:r>
            <w:r w:rsidR="0017086B" w:rsidRPr="00A8498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17086B" w:rsidRPr="00A84983">
              <w:rPr>
                <w:rFonts w:ascii="Times New Roman" w:eastAsia="Times New Roman" w:hAnsi="Times New Roman" w:cs="Times New Roman"/>
                <w:lang w:eastAsia="ru-RU"/>
              </w:rPr>
              <w:t xml:space="preserve">директор </w:t>
            </w:r>
          </w:p>
          <w:p w:rsidR="0017086B" w:rsidRPr="00A84983" w:rsidRDefault="00FB1429"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w:t>
            </w:r>
            <w:r w:rsidR="00447221">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proofErr w:type="spellStart"/>
            <w:r w:rsidR="00A37255">
              <w:rPr>
                <w:rFonts w:ascii="Times New Roman" w:eastAsia="Times New Roman" w:hAnsi="Times New Roman" w:cs="Times New Roman"/>
                <w:lang w:eastAsia="ru-RU"/>
              </w:rPr>
              <w:t>Ш.М.Ассанаев</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2021году.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2021году.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A37255">
        <w:rPr>
          <w:rFonts w:ascii="Times New Roman" w:hAnsi="Times New Roman"/>
          <w:sz w:val="24"/>
          <w:szCs w:val="24"/>
        </w:rPr>
        <w:t>с момента заключения договора до 25.08</w:t>
      </w:r>
      <w:r w:rsidR="00A37255" w:rsidRPr="00C27611">
        <w:rPr>
          <w:rFonts w:ascii="Times New Roman" w:hAnsi="Times New Roman"/>
          <w:sz w:val="24"/>
          <w:szCs w:val="24"/>
        </w:rPr>
        <w:t>.20</w:t>
      </w:r>
      <w:r w:rsidR="00A37255">
        <w:rPr>
          <w:rFonts w:ascii="Times New Roman" w:hAnsi="Times New Roman"/>
          <w:sz w:val="24"/>
          <w:szCs w:val="24"/>
        </w:rPr>
        <w:t>21</w:t>
      </w:r>
      <w:r w:rsidR="00A37255" w:rsidRPr="00C27611">
        <w:rPr>
          <w:rFonts w:ascii="Times New Roman" w:hAnsi="Times New Roman"/>
          <w:sz w:val="24"/>
          <w:szCs w:val="24"/>
        </w:rPr>
        <w:t>г</w:t>
      </w:r>
      <w:r w:rsidR="00A37255" w:rsidRPr="00145529">
        <w:rPr>
          <w:rFonts w:ascii="Times New Roman" w:hAnsi="Times New Roman"/>
          <w:sz w:val="24"/>
          <w:szCs w:val="24"/>
        </w:rPr>
        <w:t>.</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A37255" w:rsidP="00305175">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w:t>
      </w:r>
      <w:proofErr w:type="gramStart"/>
      <w:r w:rsidR="00CF7BD4" w:rsidRPr="0027153A">
        <w:rPr>
          <w:rFonts w:ascii="Times New Roman" w:hAnsi="Times New Roman"/>
          <w:sz w:val="24"/>
          <w:szCs w:val="24"/>
        </w:rPr>
        <w:t xml:space="preserve">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Pr="00CC500D" w:rsidRDefault="00EA34AA" w:rsidP="00535BDA">
            <w:pPr>
              <w:tabs>
                <w:tab w:val="left" w:pos="708"/>
              </w:tabs>
              <w:jc w:val="center"/>
              <w:rPr>
                <w:sz w:val="24"/>
                <w:szCs w:val="24"/>
                <w:u w:val="single"/>
              </w:rPr>
            </w:pPr>
            <w:r w:rsidRPr="00CC500D">
              <w:rPr>
                <w:sz w:val="24"/>
                <w:szCs w:val="24"/>
              </w:rPr>
              <w:t xml:space="preserve">Выполнение работ </w:t>
            </w:r>
            <w:r w:rsidR="00432CD9" w:rsidRPr="00CC500D">
              <w:rPr>
                <w:sz w:val="24"/>
                <w:szCs w:val="24"/>
              </w:rPr>
              <w:t xml:space="preserve">по </w:t>
            </w:r>
            <w:r w:rsidR="00535BDA" w:rsidRPr="00CC500D">
              <w:rPr>
                <w:sz w:val="24"/>
                <w:szCs w:val="24"/>
              </w:rPr>
              <w:t xml:space="preserve">капитальному                      </w:t>
            </w:r>
            <w:r w:rsidR="00535BDA" w:rsidRPr="00CC500D">
              <w:rPr>
                <w:sz w:val="24"/>
                <w:szCs w:val="24"/>
                <w:u w:val="single"/>
              </w:rPr>
              <w:t xml:space="preserve">ремонту системы теплоснабжения, </w:t>
            </w:r>
          </w:p>
          <w:p w:rsidR="00535BDA" w:rsidRPr="00CC500D" w:rsidRDefault="00535BDA" w:rsidP="00535BDA">
            <w:pPr>
              <w:tabs>
                <w:tab w:val="left" w:pos="708"/>
              </w:tabs>
              <w:jc w:val="center"/>
              <w:rPr>
                <w:color w:val="000000"/>
                <w:sz w:val="24"/>
                <w:szCs w:val="24"/>
              </w:rPr>
            </w:pPr>
            <w:r w:rsidRPr="00CC500D">
              <w:rPr>
                <w:sz w:val="24"/>
                <w:szCs w:val="24"/>
              </w:rPr>
              <w:t>в многоквартирных домах в 2021году.</w:t>
            </w:r>
          </w:p>
          <w:p w:rsidR="00EA34AA" w:rsidRPr="00CC500D" w:rsidRDefault="00EA34AA" w:rsidP="008A1E00">
            <w:pPr>
              <w:tabs>
                <w:tab w:val="left" w:pos="708"/>
              </w:tabs>
              <w:rPr>
                <w:sz w:val="24"/>
                <w:szCs w:val="24"/>
              </w:rPr>
            </w:pPr>
          </w:p>
          <w:p w:rsidR="00535BDA" w:rsidRPr="00CC500D" w:rsidRDefault="00535BDA" w:rsidP="00535BDA">
            <w:pPr>
              <w:pStyle w:val="ad"/>
              <w:widowControl w:val="0"/>
              <w:numPr>
                <w:ilvl w:val="0"/>
                <w:numId w:val="24"/>
              </w:numPr>
              <w:rPr>
                <w:rFonts w:ascii="Times New Roman" w:hAnsi="Times New Roman"/>
                <w:sz w:val="26"/>
                <w:szCs w:val="26"/>
              </w:rPr>
            </w:pPr>
            <w:r w:rsidRPr="00CC500D">
              <w:rPr>
                <w:rFonts w:ascii="Times New Roman" w:hAnsi="Times New Roman"/>
                <w:sz w:val="26"/>
                <w:szCs w:val="26"/>
              </w:rPr>
              <w:t xml:space="preserve">ул. </w:t>
            </w:r>
            <w:r w:rsidR="00A37255">
              <w:rPr>
                <w:rFonts w:ascii="Times New Roman" w:hAnsi="Times New Roman"/>
                <w:sz w:val="26"/>
                <w:szCs w:val="26"/>
              </w:rPr>
              <w:t>Нансена д.94</w:t>
            </w:r>
          </w:p>
          <w:p w:rsidR="00535BDA" w:rsidRPr="00CC500D" w:rsidRDefault="00535BDA" w:rsidP="00535BDA">
            <w:pPr>
              <w:pStyle w:val="ad"/>
              <w:widowControl w:val="0"/>
              <w:numPr>
                <w:ilvl w:val="0"/>
                <w:numId w:val="24"/>
              </w:numPr>
              <w:rPr>
                <w:rFonts w:ascii="Times New Roman" w:hAnsi="Times New Roman"/>
                <w:sz w:val="26"/>
                <w:szCs w:val="26"/>
              </w:rPr>
            </w:pPr>
            <w:r w:rsidRPr="00CC500D">
              <w:rPr>
                <w:rFonts w:ascii="Times New Roman" w:hAnsi="Times New Roman"/>
                <w:sz w:val="26"/>
                <w:szCs w:val="26"/>
              </w:rPr>
              <w:t>ул. Набережная Урванцева д.5</w:t>
            </w:r>
          </w:p>
          <w:p w:rsidR="00870D9E" w:rsidRPr="00CC500D" w:rsidRDefault="00870D9E" w:rsidP="00535BDA">
            <w:pPr>
              <w:pStyle w:val="ad"/>
              <w:widowControl w:val="0"/>
              <w:ind w:left="1080"/>
              <w:rPr>
                <w:rFonts w:ascii="Times New Roman" w:hAnsi="Times New Roman"/>
                <w:sz w:val="26"/>
                <w:szCs w:val="26"/>
              </w:rPr>
            </w:pPr>
          </w:p>
        </w:tc>
        <w:tc>
          <w:tcPr>
            <w:tcW w:w="2910" w:type="dxa"/>
            <w:vAlign w:val="center"/>
          </w:tcPr>
          <w:p w:rsidR="00870D9E" w:rsidRPr="00CC500D" w:rsidRDefault="00535BDA" w:rsidP="006D3FDD">
            <w:pPr>
              <w:tabs>
                <w:tab w:val="left" w:pos="1134"/>
              </w:tabs>
              <w:contextualSpacing/>
              <w:jc w:val="center"/>
              <w:rPr>
                <w:bCs/>
                <w:sz w:val="26"/>
                <w:szCs w:val="26"/>
              </w:rPr>
            </w:pPr>
            <w:r w:rsidRPr="00CC500D">
              <w:rPr>
                <w:b/>
                <w:bCs/>
              </w:rPr>
              <w:t>4 002 867,60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CC500D"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CC500D">
        <w:rPr>
          <w:rFonts w:ascii="Times New Roman" w:hAnsi="Times New Roman"/>
          <w:b/>
          <w:bCs/>
          <w:sz w:val="24"/>
          <w:szCs w:val="24"/>
        </w:rPr>
        <w:t>Дата и время начала срока подачи заявок</w:t>
      </w:r>
      <w:proofErr w:type="gramStart"/>
      <w:r w:rsidR="00A84983" w:rsidRPr="00CC500D">
        <w:rPr>
          <w:rFonts w:ascii="Times New Roman" w:hAnsi="Times New Roman"/>
          <w:b/>
          <w:bCs/>
          <w:sz w:val="24"/>
          <w:szCs w:val="24"/>
        </w:rPr>
        <w:t xml:space="preserve"> :</w:t>
      </w:r>
      <w:proofErr w:type="gramEnd"/>
      <w:r w:rsidR="00A84983" w:rsidRPr="00CC500D">
        <w:rPr>
          <w:rFonts w:ascii="Times New Roman" w:hAnsi="Times New Roman"/>
          <w:b/>
          <w:bCs/>
          <w:sz w:val="24"/>
          <w:szCs w:val="24"/>
        </w:rPr>
        <w:t xml:space="preserve"> </w:t>
      </w:r>
      <w:r w:rsidR="00A37255">
        <w:rPr>
          <w:rFonts w:ascii="Times New Roman" w:hAnsi="Times New Roman"/>
          <w:bCs/>
          <w:sz w:val="24"/>
          <w:szCs w:val="24"/>
        </w:rPr>
        <w:t xml:space="preserve">14 мая </w:t>
      </w:r>
      <w:r w:rsidR="00A84983" w:rsidRPr="00CC500D">
        <w:rPr>
          <w:rFonts w:ascii="Times New Roman" w:hAnsi="Times New Roman"/>
          <w:bCs/>
          <w:sz w:val="24"/>
          <w:szCs w:val="24"/>
        </w:rPr>
        <w:t xml:space="preserve"> </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bCs/>
          <w:sz w:val="24"/>
          <w:szCs w:val="24"/>
        </w:rPr>
        <w:t>г. 09 ч. 00 мин.</w:t>
      </w:r>
      <w:r w:rsidRPr="00CC500D">
        <w:rPr>
          <w:rFonts w:ascii="Times New Roman" w:hAnsi="Times New Roman"/>
          <w:b/>
          <w:bCs/>
          <w:sz w:val="24"/>
          <w:szCs w:val="24"/>
        </w:rPr>
        <w:t xml:space="preserve">: </w:t>
      </w:r>
    </w:p>
    <w:p w:rsidR="0017086B" w:rsidRPr="00CC500D"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CC500D">
        <w:rPr>
          <w:rFonts w:ascii="Times New Roman" w:hAnsi="Times New Roman"/>
          <w:b/>
          <w:bCs/>
          <w:sz w:val="24"/>
          <w:szCs w:val="24"/>
        </w:rPr>
        <w:t>Дата и время окончания срока подачи заявок (</w:t>
      </w:r>
      <w:r w:rsidR="00117BAF" w:rsidRPr="00CC500D">
        <w:rPr>
          <w:rFonts w:ascii="Times New Roman" w:hAnsi="Times New Roman"/>
          <w:b/>
          <w:bCs/>
          <w:sz w:val="24"/>
          <w:szCs w:val="24"/>
        </w:rPr>
        <w:t>время местное):</w:t>
      </w:r>
      <w:r w:rsidR="00535BDA" w:rsidRPr="00CC500D">
        <w:rPr>
          <w:rFonts w:ascii="Times New Roman" w:hAnsi="Times New Roman"/>
          <w:b/>
          <w:bCs/>
          <w:sz w:val="24"/>
          <w:szCs w:val="24"/>
        </w:rPr>
        <w:t xml:space="preserve"> </w:t>
      </w:r>
      <w:r w:rsidR="007201A9">
        <w:rPr>
          <w:rFonts w:ascii="Times New Roman" w:hAnsi="Times New Roman"/>
          <w:bCs/>
          <w:sz w:val="24"/>
          <w:szCs w:val="24"/>
        </w:rPr>
        <w:t>2</w:t>
      </w:r>
      <w:r w:rsidR="00A37255">
        <w:rPr>
          <w:rFonts w:ascii="Times New Roman" w:hAnsi="Times New Roman"/>
          <w:bCs/>
          <w:sz w:val="24"/>
          <w:szCs w:val="24"/>
        </w:rPr>
        <w:t>5</w:t>
      </w:r>
      <w:r w:rsidR="004E4302" w:rsidRPr="00CC500D">
        <w:rPr>
          <w:rFonts w:ascii="Times New Roman" w:hAnsi="Times New Roman"/>
          <w:bCs/>
          <w:sz w:val="24"/>
          <w:szCs w:val="24"/>
        </w:rPr>
        <w:t xml:space="preserve"> </w:t>
      </w:r>
      <w:r w:rsidR="00A37255">
        <w:rPr>
          <w:rFonts w:ascii="Times New Roman" w:hAnsi="Times New Roman"/>
          <w:bCs/>
          <w:sz w:val="24"/>
          <w:szCs w:val="24"/>
        </w:rPr>
        <w:t>мая</w:t>
      </w:r>
      <w:r w:rsidR="007766DF" w:rsidRPr="00CC500D">
        <w:rPr>
          <w:rFonts w:ascii="Times New Roman" w:hAnsi="Times New Roman"/>
          <w:sz w:val="24"/>
          <w:szCs w:val="24"/>
        </w:rPr>
        <w:t xml:space="preserve"> </w:t>
      </w:r>
      <w:r w:rsidR="00A84983" w:rsidRPr="00CC500D">
        <w:rPr>
          <w:rFonts w:ascii="Times New Roman" w:hAnsi="Times New Roman"/>
          <w:sz w:val="24"/>
          <w:szCs w:val="24"/>
        </w:rPr>
        <w:t>20</w:t>
      </w:r>
      <w:r w:rsidR="004E4302" w:rsidRPr="00CC500D">
        <w:rPr>
          <w:rFonts w:ascii="Times New Roman" w:hAnsi="Times New Roman"/>
          <w:sz w:val="24"/>
          <w:szCs w:val="24"/>
        </w:rPr>
        <w:t>21</w:t>
      </w:r>
      <w:r w:rsidRPr="00CC500D">
        <w:rPr>
          <w:rFonts w:ascii="Times New Roman" w:hAnsi="Times New Roman"/>
          <w:bCs/>
          <w:sz w:val="24"/>
          <w:szCs w:val="24"/>
        </w:rPr>
        <w:t>г.</w:t>
      </w:r>
      <w:r w:rsidR="00835CE0" w:rsidRPr="00CC500D">
        <w:rPr>
          <w:rFonts w:ascii="Times New Roman" w:hAnsi="Times New Roman"/>
          <w:bCs/>
          <w:sz w:val="24"/>
          <w:szCs w:val="24"/>
        </w:rPr>
        <w:t xml:space="preserve"> 18</w:t>
      </w:r>
      <w:r w:rsidRPr="00CC500D">
        <w:rPr>
          <w:rFonts w:ascii="Times New Roman" w:hAnsi="Times New Roman"/>
          <w:bCs/>
          <w:sz w:val="24"/>
          <w:szCs w:val="24"/>
        </w:rPr>
        <w:t xml:space="preserve"> ч. 00 мин</w:t>
      </w:r>
      <w:r w:rsidRPr="00CC500D">
        <w:rPr>
          <w:rFonts w:ascii="Times New Roman" w:hAnsi="Times New Roman"/>
          <w:bCs/>
          <w:i/>
          <w:sz w:val="24"/>
          <w:szCs w:val="24"/>
        </w:rPr>
        <w:t>.</w:t>
      </w:r>
    </w:p>
    <w:p w:rsidR="008C69FA" w:rsidRPr="00CC500D"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CC500D">
        <w:rPr>
          <w:rFonts w:ascii="Times New Roman" w:hAnsi="Times New Roman"/>
          <w:b/>
          <w:sz w:val="24"/>
          <w:szCs w:val="24"/>
        </w:rPr>
        <w:t xml:space="preserve">Место подачи заявок: </w:t>
      </w:r>
      <w:r w:rsidRPr="00CC500D">
        <w:rPr>
          <w:rFonts w:ascii="Times New Roman" w:hAnsi="Times New Roman"/>
          <w:sz w:val="24"/>
          <w:szCs w:val="24"/>
        </w:rPr>
        <w:t>6</w:t>
      </w:r>
      <w:r w:rsidRPr="00CC500D">
        <w:rPr>
          <w:rFonts w:ascii="Times New Roman" w:hAnsi="Times New Roman"/>
          <w:bCs/>
          <w:sz w:val="24"/>
          <w:szCs w:val="24"/>
        </w:rPr>
        <w:t xml:space="preserve">63300, Россия, Красноярский край, город Норильск, район Центральный, улица </w:t>
      </w:r>
      <w:r w:rsidR="00835CE0" w:rsidRPr="00CC500D">
        <w:rPr>
          <w:rFonts w:ascii="Times New Roman" w:hAnsi="Times New Roman"/>
          <w:bCs/>
          <w:sz w:val="24"/>
          <w:szCs w:val="24"/>
        </w:rPr>
        <w:t>Комсомольская, д. 41 б</w:t>
      </w:r>
      <w:r w:rsidR="00117BAF" w:rsidRPr="00CC500D">
        <w:rPr>
          <w:rFonts w:ascii="Times New Roman" w:hAnsi="Times New Roman"/>
          <w:sz w:val="24"/>
          <w:szCs w:val="24"/>
        </w:rPr>
        <w:t>.</w:t>
      </w:r>
    </w:p>
    <w:p w:rsidR="008C69FA" w:rsidRPr="00CC500D"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CC500D">
        <w:rPr>
          <w:rFonts w:ascii="Times New Roman" w:hAnsi="Times New Roman"/>
          <w:sz w:val="24"/>
          <w:szCs w:val="24"/>
        </w:rPr>
        <w:t>Заявки в письменной форме (в конверте) принимаются в р</w:t>
      </w:r>
      <w:r w:rsidR="00835CE0" w:rsidRPr="00CC500D">
        <w:rPr>
          <w:rFonts w:ascii="Times New Roman" w:hAnsi="Times New Roman"/>
          <w:sz w:val="24"/>
          <w:szCs w:val="24"/>
        </w:rPr>
        <w:t>абочие дни с 09:00 до 13:00 с 15</w:t>
      </w:r>
      <w:r w:rsidRPr="00CC500D">
        <w:rPr>
          <w:rFonts w:ascii="Times New Roman" w:hAnsi="Times New Roman"/>
          <w:sz w:val="24"/>
          <w:szCs w:val="24"/>
        </w:rPr>
        <w:t xml:space="preserve">:00 </w:t>
      </w:r>
      <w:r w:rsidR="00835CE0" w:rsidRPr="00CC500D">
        <w:rPr>
          <w:rFonts w:ascii="Times New Roman" w:hAnsi="Times New Roman"/>
          <w:sz w:val="24"/>
          <w:szCs w:val="24"/>
        </w:rPr>
        <w:t>до 18</w:t>
      </w:r>
      <w:r w:rsidRPr="00CC500D">
        <w:rPr>
          <w:rFonts w:ascii="Times New Roman" w:hAnsi="Times New Roman"/>
          <w:sz w:val="24"/>
          <w:szCs w:val="24"/>
        </w:rPr>
        <w:t>:00 часов.</w:t>
      </w:r>
    </w:p>
    <w:p w:rsidR="00163CB8" w:rsidRPr="00CC500D"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Место рассмотрения заявок участников закупки:</w:t>
      </w:r>
      <w:r w:rsidR="00CC500D" w:rsidRPr="00CC500D">
        <w:rPr>
          <w:rFonts w:ascii="Times New Roman" w:hAnsi="Times New Roman"/>
          <w:b/>
          <w:sz w:val="24"/>
          <w:szCs w:val="24"/>
        </w:rPr>
        <w:t xml:space="preserve"> </w:t>
      </w:r>
      <w:r w:rsidR="007363C7" w:rsidRPr="00CC500D">
        <w:rPr>
          <w:rFonts w:ascii="Times New Roman" w:hAnsi="Times New Roman"/>
          <w:sz w:val="24"/>
          <w:szCs w:val="24"/>
        </w:rPr>
        <w:t>6</w:t>
      </w:r>
      <w:r w:rsidR="007363C7" w:rsidRPr="00CC500D">
        <w:rPr>
          <w:rFonts w:ascii="Times New Roman" w:hAnsi="Times New Roman"/>
          <w:bCs/>
          <w:sz w:val="24"/>
          <w:szCs w:val="24"/>
        </w:rPr>
        <w:t xml:space="preserve">63300, Россия, Красноярский край, город Норильск, район Центральный, улица </w:t>
      </w:r>
      <w:r w:rsidR="001D7CDC" w:rsidRPr="00CC500D">
        <w:rPr>
          <w:rFonts w:ascii="Times New Roman" w:hAnsi="Times New Roman"/>
          <w:bCs/>
          <w:sz w:val="24"/>
          <w:szCs w:val="24"/>
        </w:rPr>
        <w:t xml:space="preserve">Севастопольская, д.7, </w:t>
      </w:r>
      <w:r w:rsidR="00163CB8" w:rsidRPr="00CC500D">
        <w:rPr>
          <w:rFonts w:ascii="Times New Roman" w:hAnsi="Times New Roman"/>
          <w:bCs/>
          <w:sz w:val="24"/>
          <w:szCs w:val="24"/>
        </w:rPr>
        <w:t>МКУ «УЖКХ»</w:t>
      </w:r>
    </w:p>
    <w:p w:rsidR="002F4E0F" w:rsidRPr="00CC500D"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Дата вскрытия конвертов:</w:t>
      </w:r>
      <w:r w:rsidR="00A84983" w:rsidRPr="00CC500D">
        <w:rPr>
          <w:rFonts w:ascii="Times New Roman" w:hAnsi="Times New Roman"/>
          <w:sz w:val="24"/>
          <w:szCs w:val="24"/>
        </w:rPr>
        <w:t xml:space="preserve"> </w:t>
      </w:r>
      <w:r w:rsidR="00447221">
        <w:rPr>
          <w:rFonts w:ascii="Times New Roman" w:hAnsi="Times New Roman"/>
          <w:sz w:val="24"/>
          <w:szCs w:val="24"/>
        </w:rPr>
        <w:t>26.0</w:t>
      </w:r>
      <w:r w:rsidR="00A37255">
        <w:rPr>
          <w:rFonts w:ascii="Times New Roman" w:hAnsi="Times New Roman"/>
          <w:sz w:val="24"/>
          <w:szCs w:val="24"/>
        </w:rPr>
        <w:t>5</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sz w:val="24"/>
          <w:szCs w:val="24"/>
        </w:rPr>
        <w:t>г. в 12 час 00мин</w:t>
      </w:r>
    </w:p>
    <w:p w:rsidR="002F4E0F" w:rsidRPr="00CC500D"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 xml:space="preserve">Дата подведения итогов закупки: </w:t>
      </w:r>
      <w:r w:rsidR="00447221">
        <w:rPr>
          <w:rFonts w:ascii="Times New Roman" w:hAnsi="Times New Roman"/>
          <w:sz w:val="24"/>
          <w:szCs w:val="24"/>
        </w:rPr>
        <w:t>3</w:t>
      </w:r>
      <w:r w:rsidR="00A37255">
        <w:rPr>
          <w:rFonts w:ascii="Times New Roman" w:hAnsi="Times New Roman"/>
          <w:sz w:val="24"/>
          <w:szCs w:val="24"/>
        </w:rPr>
        <w:t>1</w:t>
      </w:r>
      <w:r w:rsidR="00447221">
        <w:rPr>
          <w:rFonts w:ascii="Times New Roman" w:hAnsi="Times New Roman"/>
          <w:sz w:val="24"/>
          <w:szCs w:val="24"/>
        </w:rPr>
        <w:t>.0</w:t>
      </w:r>
      <w:r w:rsidR="00A37255">
        <w:rPr>
          <w:rFonts w:ascii="Times New Roman" w:hAnsi="Times New Roman"/>
          <w:sz w:val="24"/>
          <w:szCs w:val="24"/>
        </w:rPr>
        <w:t>5</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sz w:val="24"/>
          <w:szCs w:val="24"/>
        </w:rPr>
        <w:t>г. в 12 час 00 мин</w:t>
      </w:r>
      <w:r w:rsidRPr="00CC500D">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w:t>
      </w:r>
      <w:r w:rsidR="00B133D2" w:rsidRPr="0012263F">
        <w:rPr>
          <w:rFonts w:ascii="Times New Roman" w:hAnsi="Times New Roman" w:cs="Times New Roman"/>
          <w:sz w:val="24"/>
          <w:szCs w:val="24"/>
        </w:rPr>
        <w:lastRenderedPageBreak/>
        <w:t>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w:t>
      </w:r>
      <w:r w:rsidRPr="0012263F">
        <w:rPr>
          <w:rFonts w:ascii="Times New Roman" w:hAnsi="Times New Roman" w:cs="Times New Roman"/>
          <w:sz w:val="24"/>
          <w:szCs w:val="24"/>
        </w:rPr>
        <w:lastRenderedPageBreak/>
        <w:t>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7201A9">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должны содержать согласие на обработку </w:t>
      </w:r>
      <w:r w:rsidRPr="0012263F">
        <w:rPr>
          <w:rFonts w:ascii="Times New Roman" w:hAnsi="Times New Roman" w:cs="Times New Roman"/>
          <w:sz w:val="24"/>
          <w:szCs w:val="24"/>
        </w:rPr>
        <w:lastRenderedPageBreak/>
        <w:t>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lastRenderedPageBreak/>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w:t>
      </w:r>
      <w:r w:rsidRPr="00186026">
        <w:rPr>
          <w:rFonts w:ascii="Times New Roman" w:hAnsi="Times New Roman" w:cs="Times New Roman"/>
          <w:sz w:val="24"/>
          <w:szCs w:val="24"/>
        </w:rPr>
        <w:lastRenderedPageBreak/>
        <w:t xml:space="preserve">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w:t>
      </w:r>
      <w:r w:rsidRPr="0012263F">
        <w:rPr>
          <w:rFonts w:ascii="Times New Roman" w:hAnsi="Times New Roman" w:cs="Times New Roman"/>
          <w:sz w:val="24"/>
          <w:szCs w:val="24"/>
        </w:rPr>
        <w:lastRenderedPageBreak/>
        <w:t xml:space="preserve">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2.35. Договор заключается с единственным участником закупки в случае признания </w:t>
      </w:r>
      <w:r w:rsidRPr="0012263F">
        <w:rPr>
          <w:rFonts w:ascii="Times New Roman" w:hAnsi="Times New Roman" w:cs="Times New Roman"/>
          <w:sz w:val="24"/>
          <w:szCs w:val="24"/>
        </w:rPr>
        <w:lastRenderedPageBreak/>
        <w:t>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783B4A" w:rsidRDefault="00783B4A" w:rsidP="00783B4A">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 xml:space="preserve">ул. </w:t>
            </w:r>
            <w:r w:rsidR="00A37255">
              <w:rPr>
                <w:rFonts w:ascii="Times New Roman" w:hAnsi="Times New Roman"/>
                <w:sz w:val="26"/>
                <w:szCs w:val="26"/>
              </w:rPr>
              <w:t>Нансена д.94</w:t>
            </w:r>
          </w:p>
          <w:p w:rsidR="009C767B" w:rsidRPr="00783B4A" w:rsidRDefault="00783B4A" w:rsidP="00783B4A">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Pr="005C446B">
              <w:rPr>
                <w:rFonts w:ascii="Times New Roman" w:hAnsi="Times New Roman"/>
                <w:sz w:val="26"/>
                <w:szCs w:val="26"/>
              </w:rPr>
              <w:t>Набережная Урванцева д.5</w:t>
            </w:r>
            <w:r>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4E4302" w:rsidRPr="0027153A" w:rsidRDefault="004E4302" w:rsidP="00D50791">
            <w:pPr>
              <w:tabs>
                <w:tab w:val="left" w:pos="708"/>
              </w:tabs>
              <w:jc w:val="both"/>
              <w:rPr>
                <w:rFonts w:ascii="Times New Roman" w:hAnsi="Times New Roman"/>
                <w:color w:val="000000"/>
                <w:sz w:val="24"/>
                <w:szCs w:val="24"/>
              </w:rPr>
            </w:pPr>
          </w:p>
          <w:p w:rsidR="00A37255" w:rsidRDefault="00A37255" w:rsidP="00783B4A">
            <w:pPr>
              <w:widowControl w:val="0"/>
              <w:autoSpaceDE w:val="0"/>
              <w:autoSpaceDN w:val="0"/>
              <w:ind w:left="720"/>
              <w:rPr>
                <w:rFonts w:ascii="Times New Roman" w:hAnsi="Times New Roman"/>
                <w:sz w:val="26"/>
                <w:szCs w:val="26"/>
              </w:rPr>
            </w:pPr>
            <w:r>
              <w:rPr>
                <w:rFonts w:ascii="Times New Roman" w:hAnsi="Times New Roman"/>
                <w:sz w:val="26"/>
                <w:szCs w:val="26"/>
              </w:rPr>
              <w:t>ул. Нансена д.94</w:t>
            </w:r>
          </w:p>
          <w:p w:rsidR="00783B4A" w:rsidRPr="00783B4A" w:rsidRDefault="00783B4A" w:rsidP="00783B4A">
            <w:pPr>
              <w:widowControl w:val="0"/>
              <w:autoSpaceDE w:val="0"/>
              <w:autoSpaceDN w:val="0"/>
              <w:ind w:left="720"/>
              <w:rPr>
                <w:rFonts w:ascii="Times New Roman" w:hAnsi="Times New Roman"/>
                <w:sz w:val="26"/>
                <w:szCs w:val="26"/>
              </w:rPr>
            </w:pPr>
            <w:r w:rsidRPr="00783B4A">
              <w:rPr>
                <w:rFonts w:ascii="Times New Roman" w:hAnsi="Times New Roman"/>
                <w:sz w:val="26"/>
                <w:szCs w:val="26"/>
              </w:rPr>
              <w:t>ул. Набережная Урванцева д.5</w:t>
            </w: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sidRPr="00783B4A">
              <w:rPr>
                <w:rFonts w:ascii="Times New Roman" w:eastAsia="Times New Roman" w:hAnsi="Times New Roman" w:cs="Times New Roman"/>
                <w:sz w:val="24"/>
                <w:szCs w:val="24"/>
                <w:lang w:eastAsia="ru-RU"/>
              </w:rPr>
              <w:t>квт</w:t>
            </w:r>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3 132</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783B4A"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4 002 867,60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783B4A" w:rsidRDefault="00885D00" w:rsidP="00885D00">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bCs/>
          <w:color w:val="000000"/>
          <w:sz w:val="24"/>
          <w:szCs w:val="24"/>
          <w:lang w:eastAsia="ru-RU"/>
        </w:rPr>
        <w:tab/>
      </w:r>
      <w:proofErr w:type="gramStart"/>
      <w:r w:rsidR="009F0633" w:rsidRPr="0027153A">
        <w:rPr>
          <w:rFonts w:ascii="Times New Roman" w:eastAsia="Times New Roman" w:hAnsi="Times New Roman" w:cs="Times New Roman"/>
          <w:bCs/>
          <w:color w:val="000000"/>
          <w:sz w:val="24"/>
          <w:szCs w:val="24"/>
          <w:lang w:eastAsia="ru-RU"/>
        </w:rPr>
        <w:t>1.1.</w:t>
      </w:r>
      <w:r w:rsidR="009F0633"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009F0633"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009F0633"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783B4A" w:rsidRPr="00CC500D">
        <w:rPr>
          <w:rFonts w:ascii="Times New Roman" w:eastAsia="Times New Roman" w:hAnsi="Times New Roman" w:cs="Times New Roman"/>
          <w:sz w:val="24"/>
          <w:szCs w:val="24"/>
          <w:lang w:eastAsia="ru-RU"/>
        </w:rPr>
        <w:t>Выполнение работ по капитальному ремонту системы теплоснабжения, в многоквартирных домах в 2021году</w:t>
      </w:r>
      <w:r w:rsidR="009F0633" w:rsidRPr="00CC500D">
        <w:rPr>
          <w:rFonts w:ascii="Times New Roman" w:eastAsia="Times New Roman" w:hAnsi="Times New Roman" w:cs="Times New Roman"/>
          <w:color w:val="000000"/>
          <w:sz w:val="24"/>
          <w:szCs w:val="24"/>
          <w:lang w:eastAsia="ru-RU"/>
        </w:rPr>
        <w:t xml:space="preserve"> (далее – Работы) по адрес</w:t>
      </w:r>
      <w:r w:rsidRPr="00CC500D">
        <w:rPr>
          <w:rFonts w:ascii="Times New Roman" w:eastAsia="Times New Roman" w:hAnsi="Times New Roman" w:cs="Times New Roman"/>
          <w:color w:val="000000"/>
          <w:sz w:val="24"/>
          <w:szCs w:val="24"/>
          <w:lang w:eastAsia="ru-RU"/>
        </w:rPr>
        <w:t>ам</w:t>
      </w:r>
      <w:r w:rsidR="009F0633" w:rsidRPr="00CC500D">
        <w:rPr>
          <w:rFonts w:ascii="Times New Roman" w:eastAsia="Times New Roman" w:hAnsi="Times New Roman" w:cs="Times New Roman"/>
          <w:color w:val="000000"/>
          <w:sz w:val="24"/>
          <w:szCs w:val="24"/>
          <w:lang w:eastAsia="ru-RU"/>
        </w:rPr>
        <w:t xml:space="preserve"> указанн</w:t>
      </w:r>
      <w:r w:rsidRPr="00CC500D">
        <w:rPr>
          <w:rFonts w:ascii="Times New Roman" w:eastAsia="Times New Roman" w:hAnsi="Times New Roman" w:cs="Times New Roman"/>
          <w:color w:val="000000"/>
          <w:sz w:val="24"/>
          <w:szCs w:val="24"/>
          <w:lang w:eastAsia="ru-RU"/>
        </w:rPr>
        <w:t xml:space="preserve">ых </w:t>
      </w:r>
      <w:r w:rsidR="009F0633" w:rsidRPr="00CC500D">
        <w:rPr>
          <w:rFonts w:ascii="Times New Roman" w:eastAsia="Times New Roman" w:hAnsi="Times New Roman" w:cs="Times New Roman"/>
          <w:color w:val="000000"/>
          <w:sz w:val="24"/>
          <w:szCs w:val="24"/>
          <w:lang w:eastAsia="ru-RU"/>
        </w:rPr>
        <w:t>в Приложении №1 к настоящему Договору, и сдать их результат</w:t>
      </w:r>
      <w:r w:rsidR="009F0633" w:rsidRPr="0027153A">
        <w:rPr>
          <w:rFonts w:ascii="Times New Roman" w:eastAsia="Times New Roman" w:hAnsi="Times New Roman" w:cs="Times New Roman"/>
          <w:color w:val="000000"/>
          <w:sz w:val="24"/>
          <w:szCs w:val="24"/>
          <w:lang w:eastAsia="ru-RU"/>
        </w:rPr>
        <w:t xml:space="preserve"> Заказчику, а Заказчик обязуется принять результат Работ и оплатить их в соответствии с условиями настоящего Договора.</w:t>
      </w:r>
      <w:proofErr w:type="gramEnd"/>
    </w:p>
    <w:p w:rsidR="00783B4A" w:rsidRPr="00D777B2" w:rsidRDefault="009F0633" w:rsidP="00783B4A">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r>
      <w:r w:rsidR="00783B4A">
        <w:rPr>
          <w:rFonts w:ascii="Times New Roman" w:eastAsia="Times New Roman" w:hAnsi="Times New Roman" w:cs="Times New Roman"/>
          <w:color w:val="000000"/>
          <w:sz w:val="24"/>
          <w:szCs w:val="24"/>
        </w:rPr>
        <w:t>Подрядчик обязуется выполнить Работы</w:t>
      </w:r>
      <w:r w:rsidR="00885D00">
        <w:rPr>
          <w:rFonts w:ascii="Times New Roman" w:eastAsia="Times New Roman" w:hAnsi="Times New Roman" w:cs="Times New Roman"/>
          <w:color w:val="000000"/>
          <w:sz w:val="24"/>
          <w:szCs w:val="24"/>
        </w:rPr>
        <w:t xml:space="preserve"> </w:t>
      </w:r>
      <w:r w:rsidR="00783B4A">
        <w:rPr>
          <w:rFonts w:ascii="Times New Roman" w:eastAsia="Times New Roman" w:hAnsi="Times New Roman" w:cs="Times New Roman"/>
          <w:color w:val="000000"/>
          <w:sz w:val="24"/>
          <w:szCs w:val="24"/>
        </w:rPr>
        <w:t>в соответствии с проектно-сметной документацией, являющейся неотъемлемой частью настоящего договора.</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 xml:space="preserve">начало выполнения Работ </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2C21C8"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1.6. </w:t>
      </w:r>
      <w:r w:rsidR="002C21C8">
        <w:rPr>
          <w:rFonts w:ascii="Times New Roman" w:eastAsia="Times New Roman" w:hAnsi="Times New Roman" w:cs="Times New Roman"/>
          <w:color w:val="000000"/>
          <w:sz w:val="24"/>
          <w:szCs w:val="24"/>
        </w:rPr>
        <w:t>Работа выполняется силами подрядчика.</w:t>
      </w:r>
      <w:r w:rsidR="00885D00">
        <w:rPr>
          <w:rFonts w:ascii="Times New Roman" w:eastAsia="Times New Roman" w:hAnsi="Times New Roman" w:cs="Times New Roman"/>
          <w:color w:val="000000"/>
          <w:sz w:val="24"/>
          <w:szCs w:val="24"/>
        </w:rPr>
        <w:t xml:space="preserve"> </w:t>
      </w:r>
    </w:p>
    <w:p w:rsidR="002C21C8" w:rsidRPr="00D777B2"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1.7. </w:t>
      </w:r>
      <w:r w:rsidR="002C21C8">
        <w:rPr>
          <w:rFonts w:ascii="Times New Roman" w:eastAsia="Times New Roman" w:hAnsi="Times New Roman" w:cs="Times New Roman"/>
          <w:color w:val="000000"/>
          <w:sz w:val="24"/>
          <w:szCs w:val="24"/>
        </w:rPr>
        <w:t xml:space="preserve">Подрядчик обязуется применять для учета выполнения работ общий журнал работ (форма КС-6), отражающий технологическую последовательность, сроки, качество </w:t>
      </w:r>
      <w:r w:rsidR="002C21C8">
        <w:rPr>
          <w:rFonts w:ascii="Times New Roman" w:eastAsia="Times New Roman" w:hAnsi="Times New Roman" w:cs="Times New Roman"/>
          <w:color w:val="000000"/>
          <w:sz w:val="24"/>
          <w:szCs w:val="24"/>
        </w:rPr>
        <w:lastRenderedPageBreak/>
        <w:t>выполнения и условия производства строительно-монтажных работ.</w:t>
      </w:r>
      <w:r w:rsidR="00885D00">
        <w:rPr>
          <w:rFonts w:ascii="Times New Roman" w:eastAsia="Times New Roman" w:hAnsi="Times New Roman" w:cs="Times New Roman"/>
          <w:color w:val="000000"/>
          <w:sz w:val="24"/>
          <w:szCs w:val="24"/>
        </w:rPr>
        <w:t xml:space="preserve"> До начала работ, предоставить график выполнения работ и работы сдавать поэтапно.</w:t>
      </w:r>
    </w:p>
    <w:p w:rsidR="002C21C8"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r>
      <w:r w:rsidR="002C21C8">
        <w:rPr>
          <w:rFonts w:ascii="Times New Roman" w:eastAsia="Times New Roman" w:hAnsi="Times New Roman" w:cs="Times New Roman"/>
          <w:color w:val="000000"/>
          <w:sz w:val="24"/>
          <w:szCs w:val="24"/>
        </w:rPr>
        <w:t>Работа считается выполненной после подписания акта о приёмке выполненных Работ Заказчиком и Подрядчиком (КС-2,КС-3),</w:t>
      </w:r>
      <w:r w:rsidR="00885D00">
        <w:rPr>
          <w:rFonts w:ascii="Times New Roman" w:eastAsia="Times New Roman" w:hAnsi="Times New Roman" w:cs="Times New Roman"/>
          <w:color w:val="000000"/>
          <w:sz w:val="24"/>
          <w:szCs w:val="24"/>
        </w:rPr>
        <w:t xml:space="preserve"> </w:t>
      </w:r>
      <w:r w:rsidR="002C21C8">
        <w:rPr>
          <w:rFonts w:ascii="Times New Roman" w:eastAsia="Times New Roman" w:hAnsi="Times New Roman" w:cs="Times New Roman"/>
          <w:color w:val="000000"/>
          <w:sz w:val="24"/>
          <w:szCs w:val="24"/>
        </w:rPr>
        <w:t>Акта приёмки скрытых работ, акта ввода в эксплуатацию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885D00" w:rsidRPr="00D777B2" w:rsidRDefault="009F0633" w:rsidP="00885D00">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w:t>
      </w:r>
      <w:r w:rsidR="0048329B">
        <w:rPr>
          <w:rFonts w:ascii="Times New Roman" w:hAnsi="Times New Roman" w:cs="Times New Roman"/>
          <w:sz w:val="24"/>
          <w:szCs w:val="24"/>
        </w:rPr>
        <w:t>Нести риск случайной гибели или случайного повреждения материалов и оборудования</w:t>
      </w:r>
      <w:r w:rsidR="00885D00">
        <w:rPr>
          <w:rFonts w:ascii="Times New Roman" w:hAnsi="Times New Roman" w:cs="Times New Roman"/>
          <w:sz w:val="24"/>
          <w:szCs w:val="24"/>
        </w:rPr>
        <w:t xml:space="preserve">, или </w:t>
      </w:r>
      <w:r w:rsidR="00885D00">
        <w:rPr>
          <w:rFonts w:ascii="Times New Roman" w:hAnsi="Times New Roman"/>
          <w:color w:val="000000"/>
          <w:sz w:val="24"/>
          <w:szCs w:val="24"/>
        </w:rPr>
        <w:t>случайного повреждения результатов Работы до их приёмки Заказчиком.</w:t>
      </w:r>
    </w:p>
    <w:p w:rsidR="00885D00" w:rsidRPr="00D246EA"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u w:val="single"/>
        </w:rPr>
      </w:pPr>
      <w:r w:rsidRPr="00D777B2">
        <w:rPr>
          <w:rFonts w:ascii="Times New Roman" w:hAnsi="Times New Roman"/>
          <w:color w:val="000000"/>
          <w:sz w:val="24"/>
          <w:szCs w:val="24"/>
        </w:rPr>
        <w:t xml:space="preserve">2.1.4. </w:t>
      </w:r>
      <w:r w:rsidR="00885D00">
        <w:rPr>
          <w:rFonts w:ascii="Times New Roman" w:hAnsi="Times New Roman"/>
          <w:color w:val="000000"/>
          <w:sz w:val="24"/>
          <w:szCs w:val="24"/>
        </w:rPr>
        <w:t xml:space="preserve">Выполнить Работы своими силами. </w:t>
      </w:r>
      <w:r w:rsidR="00885D00" w:rsidRPr="00D246EA">
        <w:rPr>
          <w:rFonts w:ascii="Times New Roman" w:hAnsi="Times New Roman"/>
          <w:color w:val="000000"/>
          <w:sz w:val="24"/>
          <w:szCs w:val="24"/>
          <w:u w:val="single"/>
        </w:rPr>
        <w:t xml:space="preserve">Привлекать </w:t>
      </w:r>
      <w:r w:rsidR="00AB4B83" w:rsidRPr="00D246EA">
        <w:rPr>
          <w:rFonts w:ascii="Times New Roman" w:hAnsi="Times New Roman"/>
          <w:color w:val="000000"/>
          <w:sz w:val="24"/>
          <w:szCs w:val="24"/>
          <w:u w:val="single"/>
        </w:rPr>
        <w:t>субподрядные организации для выполнения Работ только с письменного разрешения Заказчика.</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2.1.5. </w:t>
      </w:r>
      <w:r w:rsidR="0048329B">
        <w:rPr>
          <w:rFonts w:ascii="Times New Roman" w:hAnsi="Times New Roman"/>
          <w:color w:val="000000"/>
          <w:sz w:val="24"/>
          <w:szCs w:val="24"/>
        </w:rPr>
        <w:t>Немедленно предупредить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w:t>
      </w:r>
      <w:r w:rsidR="0048329B" w:rsidRPr="00D777B2">
        <w:rPr>
          <w:rFonts w:ascii="Times New Roman" w:hAnsi="Times New Roman"/>
          <w:color w:val="000000"/>
          <w:sz w:val="24"/>
          <w:szCs w:val="24"/>
        </w:rPr>
        <w:t>.</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725F6F">
        <w:t xml:space="preserve">2.1.6. </w:t>
      </w:r>
      <w:r w:rsidR="0048329B">
        <w:rPr>
          <w:rFonts w:ascii="Times New Roman" w:hAnsi="Times New Roman"/>
          <w:color w:val="000000"/>
          <w:sz w:val="24"/>
          <w:szCs w:val="24"/>
        </w:rPr>
        <w:t>Своевременно предупредить Заказчика</w:t>
      </w:r>
      <w:proofErr w:type="gramStart"/>
      <w:r w:rsidR="0048329B">
        <w:rPr>
          <w:rFonts w:ascii="Times New Roman" w:hAnsi="Times New Roman"/>
          <w:color w:val="000000"/>
          <w:sz w:val="24"/>
          <w:szCs w:val="24"/>
        </w:rPr>
        <w:t xml:space="preserve"> ,</w:t>
      </w:r>
      <w:proofErr w:type="gramEnd"/>
      <w:r w:rsidR="0048329B">
        <w:rPr>
          <w:rFonts w:ascii="Times New Roman" w:hAnsi="Times New Roman"/>
          <w:color w:val="000000"/>
          <w:sz w:val="24"/>
          <w:szCs w:val="24"/>
        </w:rPr>
        <w:t xml:space="preserve"> в случае возникновения необходимости проведения дополнительных работ.</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w:t>
      </w:r>
      <w:r w:rsidR="0048329B">
        <w:rPr>
          <w:rFonts w:ascii="Times New Roman" w:hAnsi="Times New Roman"/>
          <w:color w:val="000000"/>
          <w:sz w:val="24"/>
          <w:szCs w:val="24"/>
        </w:rPr>
        <w:t>.1.7.Незамедлительно приостановить по указанию Заказчика использование оборудования, техники и т.п., если их качество не будет соответствовать принятым нормам, проектно-сметной документации.</w:t>
      </w:r>
    </w:p>
    <w:p w:rsidR="009F0633"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sidR="0048329B">
        <w:rPr>
          <w:rFonts w:ascii="Times New Roman" w:hAnsi="Times New Roman"/>
          <w:color w:val="000000"/>
          <w:sz w:val="24"/>
          <w:szCs w:val="24"/>
        </w:rPr>
        <w:t>После завершения Работ освободить объект и его территорию от механизмов, временных сооружений и построек, восстановить нарушенное благоустройство.</w:t>
      </w:r>
    </w:p>
    <w:p w:rsidR="009F0633"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Pr>
          <w:rFonts w:ascii="Times New Roman" w:hAnsi="Times New Roman"/>
          <w:color w:val="000000"/>
          <w:sz w:val="24"/>
          <w:szCs w:val="24"/>
        </w:rPr>
        <w:t>Обеспечить систематическую уборку мусора с Объекта и прилегающей к нему территории, а так же произвести окончательную уборку Объекта перед сдачей Работ Заказчику.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2.1.9. </w:t>
      </w:r>
      <w:r>
        <w:rPr>
          <w:rFonts w:ascii="Times New Roman" w:hAnsi="Times New Roman"/>
          <w:color w:val="000000"/>
          <w:sz w:val="24"/>
          <w:szCs w:val="24"/>
        </w:rPr>
        <w:t>Нести ответственность и устранять все последствия за свой счет в случае повреждения помещений и инженерных систем, вызванных ненадлежащим выполнением Работ по настоящему Договору.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w:t>
      </w:r>
      <w:r>
        <w:rPr>
          <w:rFonts w:ascii="Times New Roman" w:hAnsi="Times New Roman"/>
          <w:color w:val="000000"/>
          <w:sz w:val="24"/>
          <w:szCs w:val="24"/>
        </w:rPr>
        <w:t>Безвозмездно исправить все выявленные Заказчиком недостатки результатов выполненных Работ в согласованные с Заказчиком сроки.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r>
      <w:r>
        <w:rPr>
          <w:rFonts w:ascii="Times New Roman" w:hAnsi="Times New Roman"/>
          <w:color w:val="000000"/>
          <w:sz w:val="24"/>
          <w:szCs w:val="24"/>
        </w:rPr>
        <w:t>Выполнить в полном объёме все свои обязательства, предусмотренные в иных статьях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2.1.12. </w:t>
      </w:r>
      <w:r>
        <w:rPr>
          <w:rFonts w:ascii="Times New Roman" w:eastAsia="Times New Roman" w:hAnsi="Times New Roman" w:cs="Times New Roman"/>
          <w:color w:val="000000"/>
          <w:sz w:val="24"/>
          <w:szCs w:val="24"/>
        </w:rPr>
        <w:t>За свой счет получать все разрешения и лицензии, необходимые для производства работ, являющихся предметом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2.1.13. </w:t>
      </w:r>
      <w:r>
        <w:rPr>
          <w:rFonts w:ascii="Times New Roman" w:eastAsia="Times New Roman" w:hAnsi="Times New Roman" w:cs="Times New Roman"/>
          <w:color w:val="000000"/>
          <w:sz w:val="24"/>
          <w:szCs w:val="24"/>
        </w:rPr>
        <w:t>За свой счет обеспечить выполнение необходимых противопожарных мероприятий и мер по технике безопасности.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2.1.14. </w:t>
      </w:r>
      <w:r>
        <w:rPr>
          <w:rFonts w:ascii="Times New Roman" w:eastAsia="Times New Roman" w:hAnsi="Times New Roman" w:cs="Times New Roman"/>
          <w:color w:val="000000"/>
          <w:sz w:val="24"/>
          <w:szCs w:val="24"/>
        </w:rPr>
        <w:t>Подрядчик обязуется предоставить на все используемые материалы и оборудование, соответствующие сертификаты, технические паспорта и другие документы,</w:t>
      </w:r>
      <w:r w:rsidR="00885D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удостоверяющие их качество. Копии этих сертификатов и т.п. должны быть предоставлены другой Стороне за три дня до начала производства работ, выполняемых с использованием этих материалов и оборудования.</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2.1.15.</w:t>
      </w:r>
      <w:r>
        <w:rPr>
          <w:rFonts w:ascii="Times New Roman" w:eastAsia="Times New Roman" w:hAnsi="Times New Roman" w:cs="Times New Roman"/>
          <w:color w:val="000000"/>
          <w:sz w:val="24"/>
          <w:szCs w:val="24"/>
        </w:rPr>
        <w:t>По окончании работ предоставить Заказчику полный комплект исполнительной документации. Предоставить срок гарантии нормального функционирования результатов работы на ____60____ месяцев с даты подписания Сторонами акта сдачи-приёмки или акта устранения недостатков</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 исключением случаев преднамеренного повреждения указанных результатов со стороны третьих лиц.</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2.1.16. При обнаружении в период гарантийного срока эксплуатации недостатков, которые не позволяют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2.1.17. Подрядчик обязуется предоставить до начала работ Заказчику график производства работ, с указанием этапов работ, сроков выполнения работ по каждому этапу и строго придерживаться во время выполнения работ этого графика.</w:t>
      </w:r>
    </w:p>
    <w:p w:rsidR="00D246EA" w:rsidRPr="00DB4F65" w:rsidRDefault="00DD4170" w:rsidP="00D246EA">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2.1.18. </w:t>
      </w:r>
      <w:r w:rsidRPr="00DB4F65">
        <w:rPr>
          <w:rFonts w:ascii="Times New Roman" w:eastAsia="Times New Roman" w:hAnsi="Times New Roman" w:cs="Times New Roman"/>
          <w:color w:val="000000"/>
          <w:sz w:val="24"/>
          <w:szCs w:val="24"/>
        </w:rPr>
        <w:t xml:space="preserve">Перед производством каждого нового этапа работ </w:t>
      </w:r>
      <w:r w:rsidR="00D246EA" w:rsidRPr="00DB4F65">
        <w:rPr>
          <w:rFonts w:ascii="Times New Roman" w:eastAsia="Times New Roman" w:hAnsi="Times New Roman" w:cs="Times New Roman"/>
          <w:color w:val="000000"/>
          <w:sz w:val="24"/>
          <w:szCs w:val="24"/>
        </w:rPr>
        <w:t xml:space="preserve">Подрядчик обязуется </w:t>
      </w:r>
      <w:r w:rsidRPr="00DB4F65">
        <w:rPr>
          <w:rFonts w:ascii="Times New Roman" w:eastAsia="Times New Roman" w:hAnsi="Times New Roman" w:cs="Times New Roman"/>
          <w:color w:val="000000"/>
          <w:sz w:val="24"/>
          <w:szCs w:val="24"/>
        </w:rPr>
        <w:t xml:space="preserve">приглашать представителей технического надзора </w:t>
      </w:r>
      <w:r w:rsidR="00D246EA" w:rsidRPr="00DB4F65">
        <w:rPr>
          <w:rFonts w:ascii="Times New Roman" w:eastAsia="Times New Roman" w:hAnsi="Times New Roman" w:cs="Times New Roman"/>
          <w:color w:val="000000"/>
          <w:sz w:val="24"/>
          <w:szCs w:val="24"/>
        </w:rPr>
        <w:t xml:space="preserve"> Заказчик</w:t>
      </w:r>
      <w:r w:rsidRPr="00DB4F65">
        <w:rPr>
          <w:rFonts w:ascii="Times New Roman" w:eastAsia="Times New Roman" w:hAnsi="Times New Roman" w:cs="Times New Roman"/>
          <w:color w:val="000000"/>
          <w:sz w:val="24"/>
          <w:szCs w:val="24"/>
        </w:rPr>
        <w:t>а</w:t>
      </w:r>
      <w:r w:rsidR="00DB4F65" w:rsidRPr="00DB4F65">
        <w:rPr>
          <w:rFonts w:ascii="Times New Roman" w:eastAsia="Times New Roman" w:hAnsi="Times New Roman" w:cs="Times New Roman"/>
          <w:color w:val="000000"/>
          <w:sz w:val="24"/>
          <w:szCs w:val="24"/>
        </w:rPr>
        <w:t xml:space="preserve"> и приступать к следующему этапу выполнения работ только после получения разрешения от представителя технического надзора Заказчика с занесением записи в общий журнал производства рабо</w:t>
      </w:r>
      <w:proofErr w:type="gramStart"/>
      <w:r w:rsidR="00DB4F65" w:rsidRPr="00DB4F65">
        <w:rPr>
          <w:rFonts w:ascii="Times New Roman" w:eastAsia="Times New Roman" w:hAnsi="Times New Roman" w:cs="Times New Roman"/>
          <w:color w:val="000000"/>
          <w:sz w:val="24"/>
          <w:szCs w:val="24"/>
        </w:rPr>
        <w:t>т(</w:t>
      </w:r>
      <w:proofErr w:type="gramEnd"/>
      <w:r w:rsidR="00DB4F65" w:rsidRPr="00DB4F65">
        <w:rPr>
          <w:rFonts w:ascii="Times New Roman" w:eastAsia="Times New Roman" w:hAnsi="Times New Roman" w:cs="Times New Roman"/>
          <w:color w:val="000000"/>
          <w:sz w:val="24"/>
          <w:szCs w:val="24"/>
        </w:rPr>
        <w:t xml:space="preserve"> форма КС-6)</w:t>
      </w:r>
      <w:r w:rsidR="00D246EA" w:rsidRPr="00DB4F65">
        <w:rPr>
          <w:rFonts w:ascii="Times New Roman" w:eastAsia="Times New Roman" w:hAnsi="Times New Roman" w:cs="Times New Roman"/>
          <w:color w:val="000000"/>
          <w:sz w:val="24"/>
          <w:szCs w:val="24"/>
        </w:rPr>
        <w:t xml:space="preserve"> </w:t>
      </w:r>
      <w:r w:rsidR="00DB4F65" w:rsidRPr="00DB4F65">
        <w:rPr>
          <w:rFonts w:ascii="Times New Roman" w:eastAsia="Times New Roman" w:hAnsi="Times New Roman" w:cs="Times New Roman"/>
          <w:color w:val="000000"/>
          <w:sz w:val="24"/>
          <w:szCs w:val="24"/>
        </w:rPr>
        <w:t>.</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B4F65">
        <w:rPr>
          <w:rFonts w:ascii="Times New Roman" w:eastAsia="Times New Roman" w:hAnsi="Times New Roman" w:cs="Times New Roman"/>
          <w:color w:val="000000"/>
          <w:sz w:val="24"/>
          <w:szCs w:val="24"/>
        </w:rPr>
        <w:t>2.1.1</w:t>
      </w:r>
      <w:r w:rsidR="00DD4170" w:rsidRPr="00DB4F65">
        <w:rPr>
          <w:rFonts w:ascii="Times New Roman" w:eastAsia="Times New Roman" w:hAnsi="Times New Roman" w:cs="Times New Roman"/>
          <w:color w:val="000000"/>
          <w:sz w:val="24"/>
          <w:szCs w:val="24"/>
        </w:rPr>
        <w:t>9</w:t>
      </w:r>
      <w:r w:rsidRPr="00DB4F65">
        <w:rPr>
          <w:rFonts w:ascii="Times New Roman" w:eastAsia="Times New Roman" w:hAnsi="Times New Roman" w:cs="Times New Roman"/>
          <w:color w:val="000000"/>
          <w:sz w:val="24"/>
          <w:szCs w:val="24"/>
        </w:rPr>
        <w:t>. Подрядчик обязуется предоставить к актам выполнения работ   (КС-2), платёжные документы (счет, счет-фактура, товарно-транспортные накладные) на материалы</w:t>
      </w:r>
      <w:r>
        <w:rPr>
          <w:rFonts w:ascii="Times New Roman" w:eastAsia="Times New Roman" w:hAnsi="Times New Roman" w:cs="Times New Roman"/>
          <w:color w:val="000000"/>
          <w:sz w:val="24"/>
          <w:szCs w:val="24"/>
        </w:rPr>
        <w:t xml:space="preserve"> отсутствующие в ТССЦ-2001, в соответствии с п.3.3. Постановления Администрации города Норильска №303 от 19.06.2009г.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48329B"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2.3.1. </w:t>
      </w:r>
      <w:r w:rsidR="0048329B">
        <w:rPr>
          <w:rFonts w:ascii="Times New Roman" w:eastAsia="Times New Roman" w:hAnsi="Times New Roman" w:cs="Times New Roman"/>
          <w:color w:val="000000"/>
          <w:sz w:val="24"/>
          <w:szCs w:val="24"/>
        </w:rPr>
        <w:t>В течени</w:t>
      </w:r>
      <w:proofErr w:type="gramStart"/>
      <w:r w:rsidR="0048329B">
        <w:rPr>
          <w:rFonts w:ascii="Times New Roman" w:eastAsia="Times New Roman" w:hAnsi="Times New Roman" w:cs="Times New Roman"/>
          <w:color w:val="000000"/>
          <w:sz w:val="24"/>
          <w:szCs w:val="24"/>
        </w:rPr>
        <w:t>и</w:t>
      </w:r>
      <w:proofErr w:type="gramEnd"/>
      <w:r w:rsidR="0048329B">
        <w:rPr>
          <w:rFonts w:ascii="Times New Roman" w:eastAsia="Times New Roman" w:hAnsi="Times New Roman" w:cs="Times New Roman"/>
          <w:color w:val="000000"/>
          <w:sz w:val="24"/>
          <w:szCs w:val="24"/>
        </w:rPr>
        <w:t xml:space="preserve"> 10 (десяти) дней после получения от Подрядчика Акта о приёмке выполненных Работ, в порядке, предусмотренном п4.5., осмотреть и принять результат Работы.</w:t>
      </w:r>
    </w:p>
    <w:p w:rsidR="009F0633"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2.4.1. Осуществлять текущий </w:t>
      </w:r>
      <w:proofErr w:type="gramStart"/>
      <w:r w:rsidRPr="00D777B2">
        <w:rPr>
          <w:rFonts w:ascii="Times New Roman" w:eastAsia="Times New Roman" w:hAnsi="Times New Roman" w:cs="Times New Roman"/>
          <w:color w:val="000000"/>
          <w:sz w:val="24"/>
          <w:szCs w:val="24"/>
          <w:lang w:eastAsia="ru-RU"/>
        </w:rPr>
        <w:t>контроль за</w:t>
      </w:r>
      <w:proofErr w:type="gramEnd"/>
      <w:r w:rsidRPr="00D777B2">
        <w:rPr>
          <w:rFonts w:ascii="Times New Roman" w:eastAsia="Times New Roman" w:hAnsi="Times New Roman" w:cs="Times New Roman"/>
          <w:color w:val="000000"/>
          <w:sz w:val="24"/>
          <w:szCs w:val="24"/>
          <w:lang w:eastAsia="ru-RU"/>
        </w:rPr>
        <w:t xml:space="preserve">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3</w:t>
      </w:r>
      <w:r w:rsidRPr="00D777B2">
        <w:rPr>
          <w:rFonts w:ascii="Times New Roman" w:eastAsia="Times New Roman" w:hAnsi="Times New Roman" w:cs="Times New Roman"/>
          <w:color w:val="000000"/>
          <w:sz w:val="24"/>
          <w:szCs w:val="24"/>
          <w:lang w:eastAsia="ru-RU"/>
        </w:rPr>
        <w:t>.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4</w:t>
      </w:r>
      <w:r w:rsidRPr="00D777B2">
        <w:rPr>
          <w:rFonts w:ascii="Times New Roman" w:eastAsia="Times New Roman" w:hAnsi="Times New Roman" w:cs="Times New Roman"/>
          <w:color w:val="000000"/>
          <w:sz w:val="24"/>
          <w:szCs w:val="24"/>
          <w:lang w:eastAsia="ru-RU"/>
        </w:rPr>
        <w:t>.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5</w:t>
      </w:r>
      <w:r w:rsidRPr="00D777B2">
        <w:rPr>
          <w:rFonts w:ascii="Times New Roman" w:eastAsia="Times New Roman" w:hAnsi="Times New Roman" w:cs="Times New Roman"/>
          <w:color w:val="000000"/>
          <w:sz w:val="24"/>
          <w:szCs w:val="24"/>
          <w:lang w:eastAsia="ru-RU"/>
        </w:rPr>
        <w:t>.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6</w:t>
      </w:r>
      <w:r w:rsidRPr="00D777B2">
        <w:rPr>
          <w:rFonts w:ascii="Times New Roman" w:eastAsia="Times New Roman" w:hAnsi="Times New Roman" w:cs="Times New Roman"/>
          <w:color w:val="000000"/>
          <w:sz w:val="24"/>
          <w:szCs w:val="24"/>
          <w:lang w:eastAsia="ru-RU"/>
        </w:rPr>
        <w:t xml:space="preserve">.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zh-CN"/>
        </w:rPr>
      </w:pPr>
      <w:r w:rsidRPr="0027153A">
        <w:rPr>
          <w:rFonts w:ascii="Times New Roman" w:eastAsia="Times New Roman" w:hAnsi="Times New Roman" w:cs="Times New Roman"/>
          <w:color w:val="000000"/>
          <w:sz w:val="24"/>
          <w:szCs w:val="24"/>
          <w:lang w:eastAsia="zh-CN"/>
        </w:rPr>
        <w:t xml:space="preserve">3.2.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Цена настоящего Договора определяется сметной документацией</w:t>
      </w:r>
      <w:proofErr w:type="gramStart"/>
      <w:r>
        <w:rPr>
          <w:rFonts w:ascii="Times New Roman" w:eastAsia="Times New Roman" w:hAnsi="Times New Roman" w:cs="Times New Roman"/>
          <w:sz w:val="24"/>
          <w:szCs w:val="24"/>
          <w:lang w:eastAsia="zh-CN"/>
        </w:rPr>
        <w:t xml:space="preserve"> ,</w:t>
      </w:r>
      <w:proofErr w:type="gramEnd"/>
      <w:r>
        <w:rPr>
          <w:rFonts w:ascii="Times New Roman" w:eastAsia="Times New Roman" w:hAnsi="Times New Roman" w:cs="Times New Roman"/>
          <w:sz w:val="24"/>
          <w:szCs w:val="24"/>
          <w:lang w:eastAsia="zh-CN"/>
        </w:rPr>
        <w:t xml:space="preserve"> составленной </w:t>
      </w:r>
      <w:r>
        <w:rPr>
          <w:rFonts w:ascii="Times New Roman" w:eastAsia="Times New Roman" w:hAnsi="Times New Roman" w:cs="Times New Roman"/>
          <w:sz w:val="24"/>
          <w:szCs w:val="24"/>
          <w:lang w:eastAsia="zh-CN"/>
        </w:rPr>
        <w:lastRenderedPageBreak/>
        <w:t>Заказчиком, и не может превышать сумму в размере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p>
    <w:p w:rsidR="00A878F4" w:rsidRPr="00A37255"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eastAsia="Times New Roman" w:hAnsi="Times New Roman" w:cs="Times New Roman"/>
          <w:sz w:val="24"/>
          <w:szCs w:val="24"/>
          <w:lang w:eastAsia="zh-CN"/>
        </w:rPr>
        <w:t>1)</w:t>
      </w:r>
      <w:r>
        <w:rPr>
          <w:rFonts w:ascii="Times New Roman" w:eastAsia="Times New Roman" w:hAnsi="Times New Roman" w:cs="Times New Roman"/>
          <w:sz w:val="24"/>
          <w:szCs w:val="24"/>
          <w:lang w:eastAsia="zh-CN"/>
        </w:rPr>
        <w:t xml:space="preserve"> </w:t>
      </w:r>
      <w:r>
        <w:rPr>
          <w:rFonts w:ascii="Times New Roman" w:hAnsi="Times New Roman" w:cs="Times New Roman"/>
          <w:b/>
          <w:bCs/>
          <w:sz w:val="24"/>
          <w:szCs w:val="24"/>
        </w:rPr>
        <w:t>1 626 892,80</w:t>
      </w:r>
      <w:r w:rsidRPr="00A878F4">
        <w:rPr>
          <w:rFonts w:ascii="Times New Roman" w:hAnsi="Times New Roman" w:cs="Times New Roman"/>
          <w:b/>
          <w:bCs/>
          <w:sz w:val="24"/>
          <w:szCs w:val="24"/>
        </w:rPr>
        <w:t xml:space="preserve"> руб. (</w:t>
      </w:r>
      <w:r w:rsidRPr="00A37255">
        <w:rPr>
          <w:rFonts w:ascii="Times New Roman" w:hAnsi="Times New Roman" w:cs="Times New Roman"/>
          <w:b/>
          <w:bCs/>
          <w:sz w:val="24"/>
          <w:szCs w:val="24"/>
          <w:u w:val="single"/>
        </w:rPr>
        <w:t>Ремонт системы теплоснабжения</w:t>
      </w:r>
      <w:r w:rsidRPr="00A37255">
        <w:rPr>
          <w:rFonts w:ascii="Times New Roman" w:hAnsi="Times New Roman" w:cs="Times New Roman"/>
          <w:b/>
          <w:bCs/>
          <w:sz w:val="24"/>
          <w:szCs w:val="24"/>
        </w:rPr>
        <w:t xml:space="preserve">, </w:t>
      </w:r>
      <w:r w:rsidR="00A37255" w:rsidRPr="00A37255">
        <w:rPr>
          <w:rFonts w:ascii="Times New Roman" w:hAnsi="Times New Roman"/>
          <w:b/>
          <w:sz w:val="24"/>
          <w:szCs w:val="24"/>
        </w:rPr>
        <w:t>ул. Нансена д.94</w:t>
      </w:r>
      <w:r w:rsidRPr="00A37255">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37255">
        <w:rPr>
          <w:rFonts w:ascii="Times New Roman" w:hAnsi="Times New Roman" w:cs="Times New Roman"/>
          <w:b/>
          <w:bCs/>
          <w:sz w:val="24"/>
          <w:szCs w:val="24"/>
        </w:rPr>
        <w:t>2) 2 375 974,80 руб. (</w:t>
      </w:r>
      <w:r w:rsidRPr="00A37255">
        <w:rPr>
          <w:rFonts w:ascii="Times New Roman" w:hAnsi="Times New Roman" w:cs="Times New Roman"/>
          <w:b/>
          <w:bCs/>
          <w:sz w:val="24"/>
          <w:szCs w:val="24"/>
          <w:u w:val="single"/>
        </w:rPr>
        <w:t>Ремонт системы теплоснабжения</w:t>
      </w:r>
      <w:r w:rsidRPr="00A37255">
        <w:rPr>
          <w:rFonts w:ascii="Times New Roman" w:hAnsi="Times New Roman" w:cs="Times New Roman"/>
          <w:b/>
          <w:bCs/>
          <w:sz w:val="24"/>
          <w:szCs w:val="24"/>
        </w:rPr>
        <w:t xml:space="preserve">, </w:t>
      </w:r>
      <w:proofErr w:type="spellStart"/>
      <w:r w:rsidRPr="00A37255">
        <w:rPr>
          <w:rFonts w:ascii="Times New Roman" w:hAnsi="Times New Roman" w:cs="Times New Roman"/>
          <w:b/>
          <w:color w:val="000000"/>
          <w:sz w:val="24"/>
          <w:szCs w:val="24"/>
          <w:u w:val="single"/>
        </w:rPr>
        <w:t>ул</w:t>
      </w:r>
      <w:proofErr w:type="gramStart"/>
      <w:r w:rsidRPr="00A37255">
        <w:rPr>
          <w:rFonts w:ascii="Times New Roman" w:hAnsi="Times New Roman" w:cs="Times New Roman"/>
          <w:b/>
          <w:color w:val="000000"/>
          <w:sz w:val="24"/>
          <w:szCs w:val="24"/>
          <w:u w:val="single"/>
        </w:rPr>
        <w:t>.Н</w:t>
      </w:r>
      <w:proofErr w:type="gramEnd"/>
      <w:r w:rsidRPr="00A37255">
        <w:rPr>
          <w:rFonts w:ascii="Times New Roman" w:hAnsi="Times New Roman" w:cs="Times New Roman"/>
          <w:b/>
          <w:color w:val="000000"/>
          <w:sz w:val="24"/>
          <w:szCs w:val="24"/>
          <w:u w:val="single"/>
        </w:rPr>
        <w:t>абережная</w:t>
      </w:r>
      <w:proofErr w:type="spellEnd"/>
      <w:r w:rsidRPr="00A37255">
        <w:rPr>
          <w:rFonts w:ascii="Times New Roman" w:hAnsi="Times New Roman" w:cs="Times New Roman"/>
          <w:b/>
          <w:color w:val="000000"/>
          <w:sz w:val="24"/>
          <w:szCs w:val="24"/>
          <w:u w:val="single"/>
        </w:rPr>
        <w:t xml:space="preserve"> Урванцева,</w:t>
      </w:r>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д.5</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27153A">
        <w:rPr>
          <w:rFonts w:ascii="Times New Roman" w:eastAsia="Times New Roman" w:hAnsi="Times New Roman" w:cs="Times New Roman"/>
          <w:color w:val="000000"/>
          <w:sz w:val="24"/>
          <w:szCs w:val="24"/>
          <w:lang w:eastAsia="zh-CN"/>
        </w:rPr>
        <w:t xml:space="preserve">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w:t>
      </w:r>
      <w:r w:rsidR="00885D00">
        <w:rPr>
          <w:rFonts w:ascii="Times New Roman" w:eastAsia="Calibri" w:hAnsi="Times New Roman" w:cs="Times New Roman"/>
          <w:bCs/>
          <w:sz w:val="26"/>
          <w:szCs w:val="26"/>
          <w:lang w:eastAsia="zh-CN"/>
        </w:rPr>
        <w:t xml:space="preserve"> - </w:t>
      </w:r>
      <w:r w:rsidRPr="00FF267B">
        <w:rPr>
          <w:rFonts w:ascii="Times New Roman" w:eastAsia="Calibri" w:hAnsi="Times New Roman" w:cs="Times New Roman"/>
          <w:bCs/>
          <w:sz w:val="26"/>
          <w:szCs w:val="26"/>
          <w:lang w:eastAsia="zh-CN"/>
        </w:rPr>
        <w:t xml:space="preserve"> субсидии бюджета </w:t>
      </w:r>
      <w:r w:rsidRPr="00A878F4">
        <w:rPr>
          <w:rFonts w:ascii="Times New Roman" w:eastAsia="Calibri" w:hAnsi="Times New Roman" w:cs="Times New Roman"/>
          <w:bCs/>
          <w:sz w:val="24"/>
          <w:szCs w:val="24"/>
          <w:lang w:eastAsia="zh-CN"/>
        </w:rPr>
        <w:t>муниципального образования город Норильск на выполнение работ по капитальному ремонту жилищного фонда в 20</w:t>
      </w:r>
      <w:r w:rsidR="004E4302" w:rsidRPr="00A878F4">
        <w:rPr>
          <w:rFonts w:ascii="Times New Roman" w:eastAsia="Calibri" w:hAnsi="Times New Roman" w:cs="Times New Roman"/>
          <w:bCs/>
          <w:sz w:val="24"/>
          <w:szCs w:val="24"/>
          <w:lang w:eastAsia="zh-CN"/>
        </w:rPr>
        <w:t>21</w:t>
      </w:r>
      <w:r w:rsidRPr="00A878F4">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w:t>
      </w:r>
      <w:proofErr w:type="gramStart"/>
      <w:r w:rsidRPr="00D777B2">
        <w:rPr>
          <w:rFonts w:ascii="Times New Roman" w:eastAsia="Times New Roman" w:hAnsi="Times New Roman" w:cs="Times New Roman"/>
          <w:sz w:val="24"/>
          <w:szCs w:val="24"/>
          <w:lang w:eastAsia="ru-RU"/>
        </w:rPr>
        <w:t xml:space="preserve">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roofErr w:type="gramEnd"/>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4.1.4. Заказчик имеет право на задержку оплаты за выполненные Подрядчиком работы в случаях:</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не устранения ранее указанных дефектов в работах, предъявленных к оплате;</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причинения ущерба Заказчику;</w:t>
      </w:r>
    </w:p>
    <w:p w:rsidR="00A878F4" w:rsidRDefault="00A878F4" w:rsidP="00FF0F09">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отставания выполнения работ от объёмов, предусмотренных Приложением № 2 к настоящему Договору «График производства работ».</w:t>
      </w:r>
    </w:p>
    <w:p w:rsidR="00B53628" w:rsidRPr="00BE0644" w:rsidRDefault="00B53628" w:rsidP="00B53628">
      <w:p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4.1.5.</w:t>
      </w:r>
      <w:r w:rsidRPr="00BE0644">
        <w:rPr>
          <w:rFonts w:ascii="Times New Roman" w:hAnsi="Times New Roman"/>
          <w:sz w:val="24"/>
          <w:szCs w:val="24"/>
          <w:shd w:val="clear" w:color="auto" w:fill="FFFFFF"/>
        </w:rPr>
        <w:t>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B53628" w:rsidRPr="00FF0F09" w:rsidRDefault="00B53628" w:rsidP="00B53628">
      <w:pPr>
        <w:tabs>
          <w:tab w:val="left" w:pos="567"/>
        </w:tabs>
        <w:suppressAutoHyphens/>
        <w:jc w:val="both"/>
        <w:rPr>
          <w:rFonts w:ascii="Times New Roman" w:hAnsi="Times New Roman"/>
          <w:sz w:val="24"/>
          <w:szCs w:val="24"/>
        </w:rPr>
      </w:pPr>
      <w:r>
        <w:rPr>
          <w:color w:val="000000"/>
          <w:shd w:val="clear" w:color="auto" w:fill="FFFFFF"/>
        </w:rPr>
        <w:t xml:space="preserve">             </w:t>
      </w:r>
      <w:r>
        <w:rPr>
          <w:rFonts w:ascii="Times New Roman" w:hAnsi="Times New Roman" w:cs="Times New Roman"/>
          <w:color w:val="000000"/>
          <w:sz w:val="24"/>
          <w:szCs w:val="24"/>
          <w:shd w:val="clear" w:color="auto" w:fill="FFFFFF"/>
        </w:rPr>
        <w:t>4.1.6.</w:t>
      </w:r>
      <w:r w:rsidRPr="00BE0644">
        <w:rPr>
          <w:rFonts w:ascii="Times New Roman" w:hAnsi="Times New Roman" w:cs="Times New Roman"/>
          <w:sz w:val="24"/>
          <w:szCs w:val="24"/>
        </w:rPr>
        <w:t>Окончательный расчет производится после сдачи работы Подрядчиком Заказчику при условии, что работа выполнена надлежащим образом, в согласованные сроки, установленные настоящим Договором, или досрочно с согласия Заказчика.</w:t>
      </w:r>
    </w:p>
    <w:p w:rsidR="00A878F4" w:rsidRDefault="009F0633"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w:t>
      </w:r>
      <w:r w:rsidR="00A878F4">
        <w:rPr>
          <w:rFonts w:ascii="Times New Roman" w:eastAsia="Times New Roman" w:hAnsi="Times New Roman" w:cs="Times New Roman"/>
          <w:bCs/>
          <w:color w:val="000000"/>
          <w:sz w:val="24"/>
          <w:szCs w:val="24"/>
          <w:lang w:eastAsia="ru-RU"/>
        </w:rPr>
        <w:t>1.</w:t>
      </w:r>
      <w:r w:rsidR="00B53628">
        <w:rPr>
          <w:rFonts w:ascii="Times New Roman" w:eastAsia="Times New Roman" w:hAnsi="Times New Roman" w:cs="Times New Roman"/>
          <w:bCs/>
          <w:color w:val="000000"/>
          <w:sz w:val="24"/>
          <w:szCs w:val="24"/>
          <w:lang w:eastAsia="ru-RU"/>
        </w:rPr>
        <w:t>7</w:t>
      </w:r>
      <w:r w:rsidR="00A878F4">
        <w:rPr>
          <w:rFonts w:ascii="Times New Roman" w:eastAsia="Times New Roman" w:hAnsi="Times New Roman" w:cs="Times New Roman"/>
          <w:bCs/>
          <w:color w:val="000000"/>
          <w:sz w:val="24"/>
          <w:szCs w:val="24"/>
          <w:lang w:eastAsia="ru-RU"/>
        </w:rPr>
        <w:t>.</w:t>
      </w:r>
      <w:r w:rsidRPr="00D777B2">
        <w:rPr>
          <w:rFonts w:ascii="Times New Roman" w:eastAsia="Times New Roman" w:hAnsi="Times New Roman" w:cs="Times New Roman"/>
          <w:bCs/>
          <w:color w:val="000000"/>
          <w:sz w:val="24"/>
          <w:szCs w:val="24"/>
          <w:lang w:eastAsia="ru-RU"/>
        </w:rPr>
        <w:t xml:space="preserve"> Форма оплаты: безналичный расчет.</w:t>
      </w:r>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eastAsia="Times New Roman" w:hAnsi="Times New Roman" w:cs="Times New Roman"/>
          <w:bCs/>
          <w:color w:val="000000"/>
          <w:sz w:val="24"/>
          <w:szCs w:val="24"/>
          <w:lang w:eastAsia="ru-RU"/>
        </w:rPr>
        <w:t>4.1.</w:t>
      </w:r>
      <w:r w:rsidR="00B53628">
        <w:rPr>
          <w:rFonts w:ascii="Times New Roman" w:eastAsia="Times New Roman" w:hAnsi="Times New Roman" w:cs="Times New Roman"/>
          <w:bCs/>
          <w:color w:val="000000"/>
          <w:sz w:val="24"/>
          <w:szCs w:val="24"/>
          <w:lang w:eastAsia="ru-RU"/>
        </w:rPr>
        <w:t>8</w:t>
      </w:r>
      <w:r w:rsidRPr="00AB4B83">
        <w:rPr>
          <w:rFonts w:ascii="Times New Roman" w:eastAsia="Times New Roman" w:hAnsi="Times New Roman" w:cs="Times New Roman"/>
          <w:bCs/>
          <w:color w:val="000000"/>
          <w:sz w:val="24"/>
          <w:szCs w:val="24"/>
          <w:lang w:eastAsia="ru-RU"/>
        </w:rPr>
        <w:t xml:space="preserve">. </w:t>
      </w:r>
      <w:proofErr w:type="gramStart"/>
      <w:r w:rsidRPr="00AB4B83">
        <w:rPr>
          <w:rFonts w:ascii="Times New Roman" w:hAnsi="Times New Roman"/>
          <w:sz w:val="24"/>
          <w:szCs w:val="24"/>
        </w:rPr>
        <w:t>При создании Подрядчиком аварийной ситуации, повлёкшей за собой материальный ущерб Заказчику, последний, в бесспорном порядке</w:t>
      </w:r>
      <w:r w:rsidR="00AB4B83" w:rsidRPr="00AB4B83">
        <w:rPr>
          <w:rFonts w:ascii="Times New Roman" w:hAnsi="Times New Roman"/>
          <w:sz w:val="24"/>
          <w:szCs w:val="24"/>
        </w:rPr>
        <w:t xml:space="preserve"> </w:t>
      </w:r>
      <w:r w:rsidRPr="00AB4B83">
        <w:rPr>
          <w:rFonts w:ascii="Times New Roman" w:hAnsi="Times New Roman"/>
          <w:sz w:val="24"/>
          <w:szCs w:val="24"/>
        </w:rPr>
        <w:t>удерживает причинённый ему ущерб из денежных сумм, причитающихся Подрядчику по настоящему договору, а при их недостаточности – в предусмотренном законодательством РФ порядке</w:t>
      </w:r>
      <w:proofErr w:type="gramEnd"/>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hAnsi="Times New Roman"/>
          <w:sz w:val="24"/>
          <w:szCs w:val="24"/>
        </w:rPr>
        <w:t>Материальный ущерб, понесённый Заказчиком, оформляется двухсторонним актом</w:t>
      </w:r>
      <w:proofErr w:type="gramStart"/>
      <w:r w:rsidRPr="00AB4B83">
        <w:rPr>
          <w:rFonts w:ascii="Times New Roman" w:hAnsi="Times New Roman"/>
          <w:sz w:val="24"/>
          <w:szCs w:val="24"/>
        </w:rPr>
        <w:t xml:space="preserve"> ,</w:t>
      </w:r>
      <w:proofErr w:type="gramEnd"/>
      <w:r w:rsidRPr="00AB4B83">
        <w:rPr>
          <w:rFonts w:ascii="Times New Roman" w:hAnsi="Times New Roman"/>
          <w:sz w:val="24"/>
          <w:szCs w:val="24"/>
        </w:rPr>
        <w:t xml:space="preserve"> с определением оценочной стоимости повреждения.</w:t>
      </w:r>
    </w:p>
    <w:p w:rsidR="00A878F4" w:rsidRPr="00D777B2" w:rsidRDefault="00A878F4"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5</w:t>
      </w:r>
      <w:r w:rsidRPr="00D777B2">
        <w:rPr>
          <w:rFonts w:ascii="Times New Roman" w:eastAsia="Times New Roman" w:hAnsi="Times New Roman" w:cs="Times New Roman"/>
          <w:b/>
          <w:bCs/>
          <w:color w:val="000000"/>
          <w:sz w:val="24"/>
          <w:szCs w:val="24"/>
        </w:rPr>
        <w:t xml:space="preserve">. Порядок сдачи и приемки выполненных работ.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t xml:space="preserve">Приемка результатов выполненных Работ осуществляется </w:t>
      </w:r>
      <w:r w:rsidR="00AB4B83">
        <w:rPr>
          <w:rFonts w:ascii="Times New Roman" w:eastAsia="Times New Roman" w:hAnsi="Times New Roman" w:cs="Times New Roman"/>
          <w:color w:val="000000"/>
          <w:sz w:val="24"/>
          <w:szCs w:val="24"/>
        </w:rPr>
        <w:t xml:space="preserve">поэтапно </w:t>
      </w:r>
      <w:r w:rsidRPr="00D777B2">
        <w:rPr>
          <w:rFonts w:ascii="Times New Roman" w:eastAsia="Times New Roman" w:hAnsi="Times New Roman" w:cs="Times New Roman"/>
          <w:color w:val="000000"/>
          <w:sz w:val="24"/>
          <w:szCs w:val="24"/>
        </w:rPr>
        <w:t xml:space="preserve">приемочной комиссией. Акт комиссионной приемки Работ подписывается всеми членами комиссии.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Заказчик обязан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после получения от Подрядчика извещения об окончании Работы осмотреть и принять результаты Работ по Акту о приёмке выполненных работ установленной формы</w:t>
      </w:r>
      <w:r w:rsidRPr="00D777B2">
        <w:rPr>
          <w:rFonts w:ascii="Times New Roman" w:eastAsia="Times New Roman" w:hAnsi="Times New Roman" w:cs="Times New Roman"/>
          <w:color w:val="000000"/>
          <w:sz w:val="24"/>
          <w:szCs w:val="24"/>
        </w:rPr>
        <w:t>.</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35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Никакие подлежащие закрытию работы не должны закрываться без разрешения Заказчика и оформления Акта освидетельствования скрытых работ, который составляется в трёх экземплярах и подписывается представителями Сторон. Если представитель Заказчика не был информирован о производстве промежуточных работ, то Подрядчик обязан за свой счет открыть любую часть скрытых работ согласно указаниям Заказчика, а затем восстановить её.</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Заказчиком будут обнаружены некачественно выполненные Работы, то Подрядчик обязан своими силами и за счет собственных средств в установленные Заказчиком сроки устранить выявленные недостатки выполненных Работ для обеспечения надлежащего качества. В случае если Подрядчик в установленные сроки не устранит выявленные недостатки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7819E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Акты о приёмке выполненных работ (КС-2) и Справки стоимости выполненных работ и затрат (КС-3) представляются Подрядчиком, рассматриваются и подписываются </w:t>
      </w:r>
      <w:r w:rsidRPr="00D777B2">
        <w:rPr>
          <w:rFonts w:ascii="Times New Roman" w:eastAsia="Times New Roman" w:hAnsi="Times New Roman" w:cs="Times New Roman"/>
          <w:color w:val="000000"/>
          <w:sz w:val="24"/>
          <w:szCs w:val="24"/>
        </w:rPr>
        <w:t xml:space="preserve"> Заказчик</w:t>
      </w:r>
      <w:r>
        <w:rPr>
          <w:rFonts w:ascii="Times New Roman" w:eastAsia="Times New Roman" w:hAnsi="Times New Roman" w:cs="Times New Roman"/>
          <w:color w:val="000000"/>
          <w:sz w:val="24"/>
          <w:szCs w:val="24"/>
        </w:rPr>
        <w:t>ом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с момента получения от Подрядчика письменного извещения об окончании Работы, при отсутствии замечаний по объёмам и качеству выполненных работ. В случае наличия замечаний Заказчик даёт Подрядчику письменный  мотивированный отказ от приёмки выполненных Работ, </w:t>
      </w:r>
      <w:r w:rsidRPr="007819EA">
        <w:rPr>
          <w:rFonts w:ascii="Times New Roman" w:eastAsia="Times New Roman" w:hAnsi="Times New Roman" w:cs="Times New Roman"/>
          <w:color w:val="000000"/>
          <w:sz w:val="24"/>
          <w:szCs w:val="24"/>
        </w:rPr>
        <w:t>с перечнем</w:t>
      </w:r>
      <w:r>
        <w:rPr>
          <w:rFonts w:ascii="Times New Roman" w:eastAsia="Times New Roman" w:hAnsi="Times New Roman" w:cs="Times New Roman"/>
          <w:color w:val="000000"/>
          <w:sz w:val="24"/>
          <w:szCs w:val="24"/>
        </w:rPr>
        <w:t xml:space="preserve"> необходимых доработок и указанием сроков их выполнения. После устранения замечаний Подрядчик повторно направляет Заказчику необходимую документацию.</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Приёмка выполненных Работ осуществляется комиссией в составе представителей Сторон с подписанием акта о приёмке выполненных работ и справки о стоимости выполненных работ и затрат (формы КС-2,КС-3). В случае мотивированного отказа приёмки выполненных Работ, комиссией составляется Акт с перечнем необходимых доработок и сроков их выполнения. При этом не принятые Заказчиком Работы в Акте приёмки выполненных работ и справке о стоимости выполненных работ и затрат (КС-2,КС-3) не отражаются.</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возникновении между Заказчиком и Подрядчиком спора по поводу недостатков Работы или их причин по требованию любой из сторон должна быть назначена экспертиза. Расходы по проведению экспертизы несёт Заказчик, а если она назначена по соглашению между сторонами,- обе стороны поровну.</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Сторона, нарушившая условия Договора, обязана возместить другой Стороне причинённые таким нарушением убытки.</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нарушении Подрядчиком установленных настоящим Договором сроков выполнения Работ по причинам, за которые он несёт ответственность, Заказчик вправе начислить Подрядчику пени в размере 1(один) % за каждый день просрочки от общей стоимости незавершённых Работ. Заказчик вправе производить удержание неустойки при окончательном расчете за выполненные Работы.</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нарушения Подрядчиком установленных настоящим Договором сроков начала Работ</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Заказчик вправе начислить Подрядчику неустойку в размере 1(один) % за каждый день просрочки от стоимости общего объёма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6.4.    Подрядчик несёт ответственность за надлежащее качество Работ в соответствии с действующим законодательством. В случае некачественно выполненных Подрядчиком Работ, Заказчик вправе устранить выявленные недостатки с привлечением третьих лиц, а </w:t>
      </w:r>
      <w:r>
        <w:rPr>
          <w:rFonts w:ascii="Times New Roman" w:eastAsia="Times New Roman" w:hAnsi="Times New Roman" w:cs="Times New Roman"/>
          <w:color w:val="000000"/>
          <w:sz w:val="24"/>
          <w:szCs w:val="24"/>
        </w:rPr>
        <w:lastRenderedPageBreak/>
        <w:t>Подрядчик обязан возместить связанные с этим расходы Заказчика.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Риск случайной гибели или случайного повреждения результатов выполненных Работ или их части, имущества, оборудования и материалов, находящихся на Объекте до приёмки выполненных Работ, полностью лежит на Подрядчике. При просрочке передачи или приёмке результата Работы риски, несёт сторона, допустившая просрочку.</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В случае причинения ущерба, утраты и порчи имущества, материалов, оборудования и результатов Работы или их части до приёмки  выполненных Работ по любой причине Подрядчик обязан за свой счёт устранить последствия их наступления с тем, чтобы Работы отвечали требованиям настоящего Договора.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ab/>
        <w:t xml:space="preserve"> Подрядчик  самостоятельно отвечает по всем претензиям, требованиям, судебным искам со стороны третьих лиц, которые могут возникнуть вследствие невыполнения или ненадлежащего выполнения Подрядчиком своих обязатель</w:t>
      </w:r>
      <w:proofErr w:type="gramStart"/>
      <w:r>
        <w:rPr>
          <w:rFonts w:ascii="Times New Roman" w:eastAsia="Times New Roman" w:hAnsi="Times New Roman" w:cs="Times New Roman"/>
          <w:color w:val="000000"/>
          <w:sz w:val="24"/>
          <w:szCs w:val="24"/>
        </w:rPr>
        <w:t>ств пр</w:t>
      </w:r>
      <w:proofErr w:type="gramEnd"/>
      <w:r>
        <w:rPr>
          <w:rFonts w:ascii="Times New Roman" w:eastAsia="Times New Roman" w:hAnsi="Times New Roman" w:cs="Times New Roman"/>
          <w:color w:val="000000"/>
          <w:sz w:val="24"/>
          <w:szCs w:val="24"/>
        </w:rPr>
        <w:t>и выполнении Работ по настоящему Договору, принимая на себя всю имущественную ответственность.</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За ущерб, причинённый третьему лицу в процессе выполнения Работ, отвечает Подрядчик, если не докажет, что ущерб был причинён не по его вине.</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РФ.</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6.10.    Уплата неустойки и возмещение убытков не освобождает Сторону, нарушившую Договор, от исполнения своих обязательств по Договору или устранению нарушений.   </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FF0F09" w:rsidRPr="00D777B2" w:rsidRDefault="00FF0F09" w:rsidP="00FF0F09">
      <w:pPr>
        <w:pStyle w:val="ad"/>
        <w:widowControl w:val="0"/>
        <w:shd w:val="clear" w:color="auto" w:fill="FFFFFF"/>
        <w:tabs>
          <w:tab w:val="left" w:pos="851"/>
          <w:tab w:val="left" w:pos="1134"/>
        </w:tabs>
        <w:autoSpaceDE w:val="0"/>
        <w:autoSpaceDN w:val="0"/>
        <w:adjustRightInd w:val="0"/>
        <w:ind w:left="567"/>
        <w:jc w:val="both"/>
        <w:rPr>
          <w:rFonts w:ascii="Times New Roman" w:hAnsi="Times New Roman"/>
          <w:b/>
          <w:color w:val="000000"/>
          <w:sz w:val="24"/>
          <w:szCs w:val="24"/>
        </w:rPr>
      </w:pP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olor w:val="000000"/>
          <w:sz w:val="24"/>
          <w:szCs w:val="24"/>
        </w:rPr>
        <w:t>7</w:t>
      </w:r>
      <w:r w:rsidRPr="00D777B2">
        <w:rPr>
          <w:rFonts w:ascii="Times New Roman" w:hAnsi="Times New Roman"/>
          <w:color w:val="000000"/>
          <w:sz w:val="24"/>
          <w:szCs w:val="24"/>
        </w:rPr>
        <w:t xml:space="preserve">.1.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rPr>
        <w:t xml:space="preserve">со дня, следующего за днем подписания Акта комиссионной </w:t>
      </w:r>
      <w:r w:rsidRPr="00290286">
        <w:rPr>
          <w:rFonts w:ascii="Times New Roman" w:eastAsia="Times New Roman" w:hAnsi="Times New Roman" w:cs="Times New Roman"/>
          <w:sz w:val="24"/>
          <w:szCs w:val="24"/>
        </w:rPr>
        <w:t>приемки выполненных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7</w:t>
      </w:r>
      <w:r w:rsidRPr="00D777B2">
        <w:rPr>
          <w:rFonts w:ascii="Times New Roman" w:eastAsia="Times New Roman" w:hAnsi="Times New Roman" w:cs="Times New Roman"/>
          <w:sz w:val="24"/>
          <w:szCs w:val="24"/>
        </w:rPr>
        <w:t>.2. Подрядчик гарантируе</w:t>
      </w:r>
      <w:r>
        <w:rPr>
          <w:rFonts w:ascii="Times New Roman" w:eastAsia="Times New Roman" w:hAnsi="Times New Roman" w:cs="Times New Roman"/>
          <w:sz w:val="24"/>
          <w:szCs w:val="24"/>
        </w:rPr>
        <w:t xml:space="preserve">т устранение </w:t>
      </w:r>
      <w:r>
        <w:rPr>
          <w:rFonts w:ascii="Times New Roman" w:eastAsia="Times New Roman" w:hAnsi="Times New Roman" w:cs="Times New Roman"/>
          <w:color w:val="000000"/>
          <w:sz w:val="24"/>
          <w:szCs w:val="24"/>
        </w:rPr>
        <w:t>за свой счёт всех недостатков и дефектов, выявленных в гарантийный период. Подрядчик после получения письменного уведомления от Заказчика о выявленных дефектах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гарантийного срока, в течении 2(двух) дней с момента получения сообщения направляет своего представителя на Объект для проведения технического осмотра и устранения дефектов. 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устранение дефектов требует переделки Работ с заменой материалов, конструкций, оборудования,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  В случае не устранения Подрядчиком недостатков в установленный срок, Заказчику предоставляется право устранить их самостоятельно или с привлечением третьих лиц, с возмещением своих расходов, увеличенных на сумму НДС, за счет Подрядчика.</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1% (</w:t>
      </w:r>
      <w:r w:rsidR="00885D00">
        <w:rPr>
          <w:rFonts w:ascii="Times New Roman" w:eastAsia="Times New Roman" w:hAnsi="Times New Roman" w:cs="Times New Roman"/>
          <w:sz w:val="24"/>
          <w:szCs w:val="24"/>
          <w:lang w:eastAsia="ru-RU"/>
        </w:rPr>
        <w:t>один процент</w:t>
      </w:r>
      <w:r w:rsidRPr="00D777B2">
        <w:rPr>
          <w:rFonts w:ascii="Times New Roman" w:eastAsia="Times New Roman" w:hAnsi="Times New Roman" w:cs="Times New Roman"/>
          <w:sz w:val="24"/>
          <w:szCs w:val="24"/>
          <w:lang w:eastAsia="ru-RU"/>
        </w:rPr>
        <w:t>)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9.4. Сторона освобождается от уплаты пени, если докажет, что неисполнение или </w:t>
      </w:r>
      <w:r w:rsidRPr="00D777B2">
        <w:rPr>
          <w:rFonts w:ascii="Times New Roman" w:eastAsia="Times New Roman" w:hAnsi="Times New Roman" w:cs="Times New Roman"/>
          <w:sz w:val="24"/>
          <w:szCs w:val="24"/>
          <w:lang w:eastAsia="ru-RU"/>
        </w:rPr>
        <w:lastRenderedPageBreak/>
        <w:t>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12.4. Настоящий Договор вступает в силу после </w:t>
      </w:r>
      <w:r w:rsidR="00AB4B83">
        <w:rPr>
          <w:rFonts w:ascii="Times New Roman" w:eastAsia="Times New Roman" w:hAnsi="Times New Roman" w:cs="Times New Roman"/>
          <w:sz w:val="24"/>
          <w:szCs w:val="24"/>
          <w:lang w:eastAsia="ru-RU"/>
        </w:rPr>
        <w:t xml:space="preserve">с момента </w:t>
      </w:r>
      <w:r w:rsidR="00AB4B83">
        <w:rPr>
          <w:rFonts w:ascii="Times New Roman" w:eastAsia="Times New Roman" w:hAnsi="Times New Roman" w:cs="Times New Roman"/>
          <w:color w:val="000000"/>
          <w:sz w:val="24"/>
          <w:szCs w:val="24"/>
          <w:lang w:eastAsia="ru-RU"/>
        </w:rPr>
        <w:t xml:space="preserve">заключения договора с МКУ «УЖКХ» о предоставлении субсидии </w:t>
      </w:r>
      <w:r w:rsidRPr="00D777B2">
        <w:rPr>
          <w:rFonts w:ascii="Times New Roman" w:eastAsia="Times New Roman" w:hAnsi="Times New Roman" w:cs="Times New Roman"/>
          <w:sz w:val="24"/>
          <w:szCs w:val="24"/>
          <w:lang w:eastAsia="ru-RU"/>
        </w:rPr>
        <w:t xml:space="preserve">и действует до момента исполнения Сторонами всех </w:t>
      </w:r>
      <w:r w:rsidRPr="00D777B2">
        <w:rPr>
          <w:rFonts w:ascii="Times New Roman" w:eastAsia="Times New Roman" w:hAnsi="Times New Roman" w:cs="Times New Roman"/>
          <w:sz w:val="24"/>
          <w:szCs w:val="24"/>
          <w:lang w:eastAsia="ru-RU"/>
        </w:rPr>
        <w:lastRenderedPageBreak/>
        <w:t>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Pr="00D777B2"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CC500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CC500D">
              <w:rPr>
                <w:rFonts w:ascii="Times New Roman" w:eastAsia="Times New Roman" w:hAnsi="Times New Roman" w:cs="Times New Roman"/>
                <w:color w:val="000000"/>
                <w:sz w:val="24"/>
                <w:szCs w:val="24"/>
                <w:lang w:eastAsia="ru-RU"/>
              </w:rPr>
              <w:t>21</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A37255" w:rsidRDefault="005B297C" w:rsidP="007A5158">
            <w:pPr>
              <w:pStyle w:val="afd"/>
              <w:rPr>
                <w:rFonts w:ascii="Times New Roman" w:hAnsi="Times New Roman"/>
                <w:sz w:val="26"/>
                <w:szCs w:val="26"/>
              </w:rPr>
            </w:pPr>
            <w:r w:rsidRPr="00B11136">
              <w:rPr>
                <w:rFonts w:ascii="Times New Roman" w:hAnsi="Times New Roman"/>
                <w:color w:val="000000"/>
                <w:sz w:val="26"/>
                <w:szCs w:val="26"/>
              </w:rPr>
              <w:t xml:space="preserve">г. Норильск, </w:t>
            </w:r>
            <w:r w:rsidR="00A37255">
              <w:rPr>
                <w:rFonts w:ascii="Times New Roman" w:hAnsi="Times New Roman"/>
                <w:sz w:val="26"/>
                <w:szCs w:val="26"/>
              </w:rPr>
              <w:t>ул. Нансена д.94</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sidRPr="00A50281">
              <w:rPr>
                <w:rFonts w:ascii="Times New Roman" w:hAnsi="Times New Roman" w:cs="Times New Roman"/>
                <w:i/>
                <w:sz w:val="26"/>
                <w:szCs w:val="26"/>
              </w:rPr>
              <w:t>нк-12</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A37255">
              <w:rPr>
                <w:rFonts w:ascii="Times New Roman" w:hAnsi="Times New Roman" w:cs="Times New Roman"/>
                <w:i/>
                <w:sz w:val="26"/>
                <w:szCs w:val="26"/>
              </w:rPr>
              <w:t>87</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A50281" w:rsidRPr="00A50281">
              <w:rPr>
                <w:rFonts w:ascii="Times New Roman" w:hAnsi="Times New Roman" w:cs="Times New Roman"/>
                <w:i/>
                <w:sz w:val="26"/>
                <w:szCs w:val="26"/>
              </w:rPr>
              <w:t>мягкая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E97276" w:rsidRPr="00B11136" w:rsidRDefault="00A50281"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sidR="00725F6F">
              <w:rPr>
                <w:rFonts w:ascii="Times New Roman" w:hAnsi="Times New Roman"/>
                <w:sz w:val="26"/>
                <w:szCs w:val="26"/>
              </w:rPr>
              <w:t>ул.</w:t>
            </w:r>
            <w:r>
              <w:rPr>
                <w:rFonts w:ascii="Times New Roman" w:hAnsi="Times New Roman"/>
                <w:sz w:val="26"/>
                <w:szCs w:val="26"/>
              </w:rPr>
              <w:t>Набережная</w:t>
            </w:r>
            <w:proofErr w:type="spellEnd"/>
            <w:r>
              <w:rPr>
                <w:rFonts w:ascii="Times New Roman" w:hAnsi="Times New Roman"/>
                <w:sz w:val="26"/>
                <w:szCs w:val="26"/>
              </w:rPr>
              <w:t xml:space="preserve"> Урванцева</w:t>
            </w:r>
            <w:r w:rsidR="00725F6F">
              <w:rPr>
                <w:rFonts w:ascii="Times New Roman" w:hAnsi="Times New Roman"/>
                <w:sz w:val="26"/>
                <w:szCs w:val="26"/>
              </w:rPr>
              <w:t>, д.</w:t>
            </w:r>
            <w:r>
              <w:rPr>
                <w:rFonts w:ascii="Times New Roman" w:hAnsi="Times New Roman"/>
                <w:sz w:val="26"/>
                <w:szCs w:val="26"/>
              </w:rPr>
              <w:t>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A50281" w:rsidRPr="00A50281">
              <w:rPr>
                <w:rFonts w:ascii="Times New Roman" w:hAnsi="Times New Roman" w:cs="Times New Roman"/>
                <w:i/>
                <w:sz w:val="26"/>
                <w:szCs w:val="26"/>
              </w:rPr>
              <w:t>нк-12</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A50281">
              <w:rPr>
                <w:rFonts w:ascii="Times New Roman" w:hAnsi="Times New Roman" w:cs="Times New Roman"/>
                <w:i/>
                <w:sz w:val="26"/>
                <w:szCs w:val="26"/>
              </w:rPr>
              <w:t>85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00A50281" w:rsidRPr="00A50281">
              <w:rPr>
                <w:rFonts w:ascii="Times New Roman" w:hAnsi="Times New Roman" w:cs="Times New Roman"/>
                <w:i/>
                <w:sz w:val="26"/>
                <w:szCs w:val="26"/>
              </w:rPr>
              <w:t>м</w:t>
            </w:r>
            <w:proofErr w:type="gramEnd"/>
            <w:r w:rsidR="00A50281" w:rsidRPr="00A50281">
              <w:rPr>
                <w:rFonts w:ascii="Times New Roman" w:hAnsi="Times New Roman" w:cs="Times New Roman"/>
                <w:i/>
                <w:sz w:val="26"/>
                <w:szCs w:val="26"/>
              </w:rPr>
              <w:t>ягкая</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ремонта системы теплоснабжения</w:t>
      </w:r>
      <w:r w:rsidR="002E7171">
        <w:rPr>
          <w:rFonts w:ascii="Times New Roman" w:eastAsia="Times New Roman" w:hAnsi="Times New Roman" w:cs="Times New Roman"/>
          <w:b/>
          <w:sz w:val="26"/>
          <w:szCs w:val="26"/>
        </w:rPr>
        <w:t xml:space="preserve"> в многоквартирном доме в 2021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2E7171">
      <w:pPr>
        <w:numPr>
          <w:ilvl w:val="0"/>
          <w:numId w:val="7"/>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2E7171">
      <w:pPr>
        <w:numPr>
          <w:ilvl w:val="1"/>
          <w:numId w:val="8"/>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ремонта системы теплоснабжения</w:t>
      </w:r>
      <w:r>
        <w:rPr>
          <w:rFonts w:ascii="Times New Roman" w:eastAsia="Times New Roman" w:hAnsi="Times New Roman" w:cs="Times New Roman"/>
          <w:b/>
          <w:sz w:val="26"/>
          <w:szCs w:val="26"/>
        </w:rPr>
        <w:t xml:space="preserve"> в многоквартирном доме в 2021 году</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2E7171" w:rsidRDefault="00A37255"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Нансена д.94</w:t>
      </w:r>
      <w:r w:rsidR="002E7171">
        <w:rPr>
          <w:rFonts w:ascii="Times New Roman" w:hAnsi="Times New Roman"/>
          <w:sz w:val="26"/>
          <w:szCs w:val="26"/>
        </w:rPr>
        <w:t>;</w:t>
      </w:r>
    </w:p>
    <w:p w:rsidR="002E7171" w:rsidRPr="008D4047"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Набережная Урванцева, д.5</w:t>
      </w:r>
    </w:p>
    <w:p w:rsidR="002E7171" w:rsidRPr="008D4047" w:rsidRDefault="002E7171" w:rsidP="002E7171">
      <w:pPr>
        <w:spacing w:after="0" w:line="240" w:lineRule="auto"/>
        <w:contextualSpacing/>
        <w:jc w:val="both"/>
        <w:rPr>
          <w:rFonts w:ascii="Times New Roman" w:eastAsia="Times New Roman" w:hAnsi="Times New Roman" w:cs="Times New Roman"/>
          <w:sz w:val="26"/>
          <w:szCs w:val="26"/>
        </w:rPr>
      </w:pPr>
    </w:p>
    <w:p w:rsidR="002E7171" w:rsidRPr="008D4047" w:rsidRDefault="002E7171" w:rsidP="002E7171">
      <w:pPr>
        <w:pStyle w:val="ad"/>
        <w:numPr>
          <w:ilvl w:val="1"/>
          <w:numId w:val="8"/>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2E7171">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21</w:t>
      </w:r>
      <w:r w:rsidRPr="00053BFB">
        <w:rPr>
          <w:rFonts w:ascii="Times New Roman" w:eastAsia="Times New Roman" w:hAnsi="Times New Roman" w:cs="Times New Roman"/>
          <w:sz w:val="26"/>
          <w:szCs w:val="26"/>
        </w:rPr>
        <w:t>год.</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Pr>
          <w:rFonts w:ascii="Times New Roman" w:eastAsia="Times New Roman" w:hAnsi="Times New Roman" w:cs="Times New Roman"/>
          <w:sz w:val="26"/>
          <w:szCs w:val="26"/>
        </w:rPr>
        <w:t>25 августа</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21</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r w:rsidR="00A37255">
        <w:rPr>
          <w:rFonts w:ascii="Times New Roman" w:hAnsi="Times New Roman"/>
          <w:sz w:val="26"/>
          <w:szCs w:val="26"/>
        </w:rPr>
        <w:t>ул. Нансена д.94</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A37255">
        <w:rPr>
          <w:rFonts w:ascii="Times New Roman" w:hAnsi="Times New Roman" w:cs="Times New Roman"/>
          <w:i/>
          <w:sz w:val="26"/>
          <w:szCs w:val="26"/>
        </w:rPr>
        <w:t>87</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Pr="00A50281">
        <w:rPr>
          <w:rFonts w:ascii="Times New Roman" w:hAnsi="Times New Roman" w:cs="Times New Roman"/>
          <w:i/>
          <w:sz w:val="26"/>
          <w:szCs w:val="26"/>
        </w:rPr>
        <w:t>мягкая</w:t>
      </w:r>
    </w:p>
    <w:p w:rsidR="00866293"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Pr>
          <w:rFonts w:ascii="Times New Roman" w:hAnsi="Times New Roman"/>
          <w:sz w:val="26"/>
          <w:szCs w:val="26"/>
        </w:rPr>
        <w:t>ул.Набережная</w:t>
      </w:r>
      <w:proofErr w:type="spellEnd"/>
      <w:r>
        <w:rPr>
          <w:rFonts w:ascii="Times New Roman" w:hAnsi="Times New Roman"/>
          <w:sz w:val="26"/>
          <w:szCs w:val="26"/>
        </w:rPr>
        <w:t xml:space="preserve"> Урванцева, д.5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Pr="00A50281">
        <w:rPr>
          <w:rFonts w:ascii="Times New Roman" w:hAnsi="Times New Roman" w:cs="Times New Roman"/>
          <w:i/>
          <w:sz w:val="26"/>
          <w:szCs w:val="26"/>
        </w:rPr>
        <w:t>м</w:t>
      </w:r>
      <w:proofErr w:type="gramEnd"/>
      <w:r w:rsidRPr="00A50281">
        <w:rPr>
          <w:rFonts w:ascii="Times New Roman" w:hAnsi="Times New Roman" w:cs="Times New Roman"/>
          <w:i/>
          <w:sz w:val="26"/>
          <w:szCs w:val="26"/>
        </w:rPr>
        <w:t>ягкая</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2E7171" w:rsidRPr="001E11A7" w:rsidRDefault="002E7171" w:rsidP="002E7171">
      <w:pPr>
        <w:spacing w:after="0" w:line="240" w:lineRule="auto"/>
        <w:rPr>
          <w:rFonts w:ascii="Times New Roman" w:hAnsi="Times New Roman" w:cs="Times New Roman"/>
          <w:sz w:val="26"/>
          <w:szCs w:val="26"/>
        </w:rPr>
      </w:pPr>
    </w:p>
    <w:p w:rsidR="002E7171"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2E7171" w:rsidRDefault="002E7171" w:rsidP="002E7171">
      <w:pPr>
        <w:spacing w:after="0" w:line="240" w:lineRule="auto"/>
        <w:ind w:left="360"/>
        <w:contextualSpacing/>
        <w:jc w:val="both"/>
        <w:rPr>
          <w:rFonts w:ascii="Times New Roman" w:eastAsia="Times New Roman" w:hAnsi="Times New Roman" w:cs="Times New Roman"/>
          <w:b/>
          <w:sz w:val="26"/>
          <w:szCs w:val="26"/>
        </w:rPr>
      </w:pPr>
    </w:p>
    <w:p w:rsidR="002E7171" w:rsidRDefault="002E7171" w:rsidP="002E7171">
      <w:pPr>
        <w:jc w:val="both"/>
        <w:rPr>
          <w:rFonts w:ascii="Times New Roman" w:hAnsi="Times New Roman"/>
          <w:sz w:val="26"/>
          <w:szCs w:val="26"/>
        </w:rPr>
      </w:pPr>
      <w:r w:rsidRPr="002E5591">
        <w:rPr>
          <w:rFonts w:ascii="Times New Roman" w:hAnsi="Times New Roman"/>
          <w:sz w:val="26"/>
          <w:szCs w:val="26"/>
        </w:rPr>
        <w:t>3.1.</w:t>
      </w:r>
      <w:r>
        <w:rPr>
          <w:rFonts w:ascii="Times New Roman" w:hAnsi="Times New Roman"/>
          <w:sz w:val="26"/>
          <w:szCs w:val="26"/>
        </w:rPr>
        <w:t>Организацию производства и приёмки работ выполнять согласно требованиям СП 73.13330-2012 «Внутренние санитарно-технические системы», ФЗ-384 от 30.12.2009 «Технический регламент о безопасности зданий и сооружений», СНиП 12-02-2001 «Безопасность труда в строительстве», ППБ-01-03 «Правила пожарной безопасности в РФ», СП 61.13330.2012 Тепловая изоляция оборудования и трубопроводов, ГОСТ 54054 «Методы испытания на герметичность. Общие требования»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ГОСТ 25136 «Методы испытания на герметичность».</w:t>
      </w:r>
    </w:p>
    <w:p w:rsidR="002E7171" w:rsidRPr="005571AE" w:rsidRDefault="002E7171" w:rsidP="002E7171">
      <w:pPr>
        <w:jc w:val="both"/>
        <w:rPr>
          <w:rFonts w:ascii="Times New Roman" w:hAnsi="Times New Roman"/>
          <w:sz w:val="26"/>
          <w:szCs w:val="26"/>
          <w:u w:val="single"/>
        </w:rPr>
      </w:pPr>
      <w:r>
        <w:rPr>
          <w:rFonts w:ascii="Times New Roman" w:hAnsi="Times New Roman"/>
          <w:sz w:val="26"/>
          <w:szCs w:val="26"/>
        </w:rPr>
        <w:t xml:space="preserve">3.2. Монтаж внутренних трубопроводов и оборудования </w:t>
      </w:r>
      <w:r w:rsidRPr="005571AE">
        <w:rPr>
          <w:rFonts w:ascii="Times New Roman" w:hAnsi="Times New Roman"/>
          <w:sz w:val="26"/>
          <w:szCs w:val="26"/>
          <w:u w:val="single"/>
        </w:rPr>
        <w:t>осуществляется согласно проекту.</w:t>
      </w:r>
    </w:p>
    <w:p w:rsidR="002E7171" w:rsidRPr="002E5591" w:rsidRDefault="002E7171" w:rsidP="002E7171">
      <w:pPr>
        <w:spacing w:after="0" w:line="240" w:lineRule="auto"/>
        <w:ind w:left="720"/>
        <w:jc w:val="both"/>
        <w:rPr>
          <w:rFonts w:ascii="Times New Roman" w:eastAsia="Times New Roman" w:hAnsi="Times New Roman" w:cs="Times New Roman"/>
          <w:sz w:val="26"/>
          <w:szCs w:val="26"/>
        </w:rPr>
      </w:pPr>
    </w:p>
    <w:p w:rsidR="002E7171"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r w:rsidRPr="008D4047">
        <w:rPr>
          <w:rFonts w:ascii="Times New Roman" w:eastAsia="Times New Roman" w:hAnsi="Times New Roman" w:cs="Times New Roman"/>
          <w:b/>
          <w:sz w:val="26"/>
          <w:szCs w:val="26"/>
        </w:rPr>
        <w:t xml:space="preserve">Требования к </w:t>
      </w:r>
      <w:r>
        <w:rPr>
          <w:rFonts w:ascii="Times New Roman" w:eastAsia="Times New Roman" w:hAnsi="Times New Roman" w:cs="Times New Roman"/>
          <w:b/>
          <w:sz w:val="26"/>
          <w:szCs w:val="26"/>
        </w:rPr>
        <w:t>материалам, используемым при выполнении работ.</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Pr>
          <w:rFonts w:ascii="Times New Roman" w:hAnsi="Times New Roman"/>
          <w:color w:val="000000"/>
          <w:sz w:val="26"/>
          <w:szCs w:val="26"/>
        </w:rPr>
        <w:t>4.1.</w:t>
      </w:r>
      <w:r w:rsidRPr="005571AE">
        <w:rPr>
          <w:rFonts w:ascii="Times New Roman" w:hAnsi="Times New Roman"/>
          <w:color w:val="000000"/>
          <w:sz w:val="26"/>
          <w:szCs w:val="26"/>
        </w:rPr>
        <w:t>При производстве строительно-монтажных работ Подрядчик применяет собственные товарно-материальные ценности, сертифицированные, отвечающие требованиям нормативной и руководящей документации (СНиП, СанПиН, РД и т.д.), требованиям пожарной безопасности.</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Pr>
          <w:rFonts w:ascii="Times New Roman" w:hAnsi="Times New Roman"/>
          <w:color w:val="000000"/>
          <w:sz w:val="26"/>
          <w:szCs w:val="26"/>
        </w:rPr>
        <w:t>4.2.</w:t>
      </w:r>
      <w:r w:rsidRPr="005571AE">
        <w:rPr>
          <w:rFonts w:ascii="Times New Roman" w:hAnsi="Times New Roman"/>
          <w:color w:val="000000"/>
          <w:sz w:val="26"/>
          <w:szCs w:val="26"/>
        </w:rPr>
        <w:t xml:space="preserve">Подрядчик до начала производства работ на используемые материалы и конструкции </w:t>
      </w:r>
      <w:r>
        <w:rPr>
          <w:rFonts w:ascii="Times New Roman" w:hAnsi="Times New Roman"/>
          <w:color w:val="000000"/>
          <w:sz w:val="26"/>
          <w:szCs w:val="26"/>
        </w:rPr>
        <w:t>должен предоставить Заказчику сертификаты соответствия (качества), на издели</w:t>
      </w:r>
      <w:proofErr w:type="gramStart"/>
      <w:r>
        <w:rPr>
          <w:rFonts w:ascii="Times New Roman" w:hAnsi="Times New Roman"/>
          <w:color w:val="000000"/>
          <w:sz w:val="26"/>
          <w:szCs w:val="26"/>
        </w:rPr>
        <w:t>я-</w:t>
      </w:r>
      <w:proofErr w:type="gramEnd"/>
      <w:r>
        <w:rPr>
          <w:rFonts w:ascii="Times New Roman" w:hAnsi="Times New Roman"/>
          <w:color w:val="000000"/>
          <w:sz w:val="26"/>
          <w:szCs w:val="26"/>
        </w:rPr>
        <w:t xml:space="preserve"> паспорта. </w:t>
      </w:r>
      <w:proofErr w:type="gramStart"/>
      <w:r>
        <w:rPr>
          <w:rFonts w:ascii="Times New Roman" w:hAnsi="Times New Roman"/>
          <w:color w:val="000000"/>
          <w:sz w:val="26"/>
          <w:szCs w:val="26"/>
        </w:rPr>
        <w:t>Вся предоставляемая документация должна соответствовать требованиям Заказчика, ГОСТ и СанПиН, техническим условиям и условиям применяемых в жилых зданиях.</w:t>
      </w:r>
      <w:proofErr w:type="gramEnd"/>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CD5046" w:rsidRDefault="002E7171" w:rsidP="002E7171">
      <w:pPr>
        <w:ind w:left="360"/>
        <w:jc w:val="both"/>
        <w:rPr>
          <w:rFonts w:ascii="Times New Roman" w:hAnsi="Times New Roman"/>
          <w:b/>
          <w:sz w:val="26"/>
          <w:szCs w:val="26"/>
        </w:rPr>
      </w:pPr>
      <w:r>
        <w:rPr>
          <w:rFonts w:ascii="Times New Roman" w:hAnsi="Times New Roman"/>
          <w:b/>
          <w:sz w:val="26"/>
          <w:szCs w:val="26"/>
        </w:rPr>
        <w:t>5.Обязательные требования и рекомендации</w:t>
      </w:r>
      <w:r w:rsidRPr="00CD5046">
        <w:rPr>
          <w:rFonts w:ascii="Times New Roman" w:hAnsi="Times New Roman"/>
          <w:b/>
          <w:sz w:val="26"/>
          <w:szCs w:val="26"/>
        </w:rPr>
        <w:t>.</w:t>
      </w: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Все отключения трубопроводов</w:t>
      </w:r>
      <w:proofErr w:type="gramStart"/>
      <w:r>
        <w:rPr>
          <w:rFonts w:ascii="Times New Roman" w:eastAsia="Times New Roman" w:hAnsi="Times New Roman" w:cs="Times New Roman"/>
          <w:color w:val="000000"/>
          <w:sz w:val="26"/>
          <w:szCs w:val="26"/>
        </w:rPr>
        <w:t xml:space="preserve"> ,</w:t>
      </w:r>
      <w:proofErr w:type="gramEnd"/>
      <w:r>
        <w:rPr>
          <w:rFonts w:ascii="Times New Roman" w:eastAsia="Times New Roman" w:hAnsi="Times New Roman" w:cs="Times New Roman"/>
          <w:color w:val="000000"/>
          <w:sz w:val="26"/>
          <w:szCs w:val="26"/>
        </w:rPr>
        <w:t xml:space="preserve"> выполняются по программам отключений, разработанных Подрядчиком и согласованных с ответственным лицом Заказчика.</w:t>
      </w: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.2. </w:t>
      </w:r>
      <w:r>
        <w:rPr>
          <w:rFonts w:ascii="Times New Roman" w:eastAsia="Times New Roman" w:hAnsi="Times New Roman" w:cs="Times New Roman"/>
          <w:color w:val="000000"/>
          <w:sz w:val="26"/>
          <w:szCs w:val="26"/>
        </w:rPr>
        <w:t>В процессе выполнения ремонтно-строительных рабо</w:t>
      </w:r>
      <w:proofErr w:type="gramStart"/>
      <w:r>
        <w:rPr>
          <w:rFonts w:ascii="Times New Roman" w:eastAsia="Times New Roman" w:hAnsi="Times New Roman" w:cs="Times New Roman"/>
          <w:color w:val="000000"/>
          <w:sz w:val="26"/>
          <w:szCs w:val="26"/>
        </w:rPr>
        <w:t>т(</w:t>
      </w:r>
      <w:proofErr w:type="gramEnd"/>
      <w:r>
        <w:rPr>
          <w:rFonts w:ascii="Times New Roman" w:eastAsia="Times New Roman" w:hAnsi="Times New Roman" w:cs="Times New Roman"/>
          <w:color w:val="000000"/>
          <w:sz w:val="26"/>
          <w:szCs w:val="26"/>
        </w:rPr>
        <w:t>строительно-монтажных) своевременно предъявлять специалистам Заказчика скрытые работы, оформленные актом освидетельствования скрытых работ.</w:t>
      </w:r>
    </w:p>
    <w:p w:rsidR="002E7171" w:rsidRPr="008D4047" w:rsidRDefault="002E7171" w:rsidP="002E7171">
      <w:pPr>
        <w:shd w:val="clear" w:color="auto" w:fill="FFFFFF"/>
        <w:tabs>
          <w:tab w:val="left" w:pos="284"/>
          <w:tab w:val="left" w:pos="851"/>
          <w:tab w:val="left" w:pos="993"/>
        </w:tabs>
        <w:autoSpaceDE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.3. </w:t>
      </w:r>
      <w:r>
        <w:rPr>
          <w:rFonts w:ascii="Times New Roman" w:eastAsia="Times New Roman" w:hAnsi="Times New Roman" w:cs="Times New Roman"/>
          <w:color w:val="000000"/>
          <w:sz w:val="26"/>
          <w:szCs w:val="26"/>
        </w:rPr>
        <w:t>Производство работ должно происходить с регулярной уборкой и вывозом строительного мусора.</w:t>
      </w:r>
    </w:p>
    <w:p w:rsidR="002E7171" w:rsidRPr="008D4047" w:rsidRDefault="002E7171" w:rsidP="002E717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.4. </w:t>
      </w:r>
      <w:r>
        <w:rPr>
          <w:rFonts w:ascii="Times New Roman" w:hAnsi="Times New Roman" w:cs="Times New Roman"/>
          <w:sz w:val="26"/>
          <w:szCs w:val="26"/>
        </w:rPr>
        <w:t>Подробные условия обязательств Заказчика и Подрядчика указаны в Договоре подряда.</w:t>
      </w:r>
    </w:p>
    <w:p w:rsidR="002E7171" w:rsidRPr="008D4047" w:rsidRDefault="002E7171" w:rsidP="002E7171">
      <w:pPr>
        <w:spacing w:after="0" w:line="240" w:lineRule="auto"/>
        <w:rPr>
          <w:rFonts w:ascii="Times New Roman" w:eastAsia="Calibri"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.5. </w:t>
      </w:r>
      <w:r>
        <w:rPr>
          <w:rFonts w:ascii="Times New Roman" w:eastAsia="Calibri" w:hAnsi="Times New Roman" w:cs="Times New Roman"/>
          <w:sz w:val="26"/>
          <w:szCs w:val="26"/>
        </w:rPr>
        <w:t xml:space="preserve">Проектно-сметная документация составляется базисно - индексным методом с применением территориальных индексов изменения сметной стоимости </w:t>
      </w:r>
      <w:proofErr w:type="gramStart"/>
      <w:r>
        <w:rPr>
          <w:rFonts w:ascii="Times New Roman" w:eastAsia="Calibri" w:hAnsi="Times New Roman" w:cs="Times New Roman"/>
          <w:sz w:val="26"/>
          <w:szCs w:val="26"/>
        </w:rPr>
        <w:t>строительно – монтажных</w:t>
      </w:r>
      <w:proofErr w:type="gramEnd"/>
      <w:r>
        <w:rPr>
          <w:rFonts w:ascii="Times New Roman" w:eastAsia="Calibri" w:hAnsi="Times New Roman" w:cs="Times New Roman"/>
          <w:sz w:val="26"/>
          <w:szCs w:val="26"/>
        </w:rPr>
        <w:t xml:space="preserve"> работ в текущий уровень цен к СМР.</w:t>
      </w:r>
    </w:p>
    <w:p w:rsidR="002E7171" w:rsidRPr="008D4047" w:rsidRDefault="002E7171" w:rsidP="002E7171">
      <w:pPr>
        <w:spacing w:after="0" w:line="240" w:lineRule="auto"/>
        <w:rPr>
          <w:rFonts w:ascii="Times New Roman" w:hAnsi="Times New Roman" w:cs="Times New Roman"/>
          <w:sz w:val="26"/>
          <w:szCs w:val="26"/>
        </w:rPr>
      </w:pPr>
      <w:r>
        <w:rPr>
          <w:rFonts w:ascii="Times New Roman" w:eastAsia="Calibri" w:hAnsi="Times New Roman" w:cs="Times New Roman"/>
          <w:sz w:val="26"/>
          <w:szCs w:val="26"/>
        </w:rPr>
        <w:lastRenderedPageBreak/>
        <w:t xml:space="preserve">         5</w:t>
      </w:r>
      <w:r w:rsidRPr="008D4047">
        <w:rPr>
          <w:rFonts w:ascii="Times New Roman" w:eastAsia="Calibri" w:hAnsi="Times New Roman" w:cs="Times New Roman"/>
          <w:sz w:val="26"/>
          <w:szCs w:val="26"/>
        </w:rPr>
        <w:t xml:space="preserve">.6. </w:t>
      </w:r>
      <w:r>
        <w:rPr>
          <w:rFonts w:ascii="Times New Roman" w:hAnsi="Times New Roman" w:cs="Times New Roman"/>
          <w:sz w:val="26"/>
          <w:szCs w:val="26"/>
        </w:rPr>
        <w:t xml:space="preserve">Допускается замена материалов по согласованию с Заказчиком из расценок (ТЕР, </w:t>
      </w:r>
      <w:proofErr w:type="spellStart"/>
      <w:r>
        <w:rPr>
          <w:rFonts w:ascii="Times New Roman" w:hAnsi="Times New Roman" w:cs="Times New Roman"/>
          <w:sz w:val="26"/>
          <w:szCs w:val="26"/>
        </w:rPr>
        <w:t>ТЕРр</w:t>
      </w:r>
      <w:proofErr w:type="spellEnd"/>
      <w:r>
        <w:rPr>
          <w:rFonts w:ascii="Times New Roman" w:hAnsi="Times New Roman" w:cs="Times New Roman"/>
          <w:sz w:val="26"/>
          <w:szCs w:val="26"/>
        </w:rPr>
        <w:t>) в случае</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если материалы по техническим характеристикам не соответствуют материалам, пригодных для эксплуатации в условиях Крайнего Севера или морально устарели.</w:t>
      </w:r>
    </w:p>
    <w:p w:rsidR="002E7171" w:rsidRPr="008D4047" w:rsidRDefault="002E7171" w:rsidP="002E7171">
      <w:pPr>
        <w:spacing w:after="0" w:line="240" w:lineRule="auto"/>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.7. </w:t>
      </w:r>
      <w:r>
        <w:rPr>
          <w:rFonts w:ascii="Times New Roman" w:hAnsi="Times New Roman" w:cs="Times New Roman"/>
          <w:sz w:val="26"/>
          <w:szCs w:val="26"/>
          <w:shd w:val="clear" w:color="auto" w:fill="FFFFFF"/>
        </w:rPr>
        <w:t>Оплата за фактически выполненные работы, не может превышать цены, определённой утверждёнными сметами. Стоимость работ может быть скорректирована в пределах общей стоимости работ на зданиях, предусмотренных программой работ.</w:t>
      </w:r>
    </w:p>
    <w:p w:rsidR="002E7171" w:rsidRPr="008D4047" w:rsidRDefault="002E7171" w:rsidP="002E7171">
      <w:pPr>
        <w:spacing w:after="0" w:line="240" w:lineRule="auto"/>
        <w:rPr>
          <w:rFonts w:ascii="Times New Roman" w:hAnsi="Times New Roman" w:cs="Times New Roman"/>
          <w:spacing w:val="2"/>
          <w:sz w:val="26"/>
          <w:szCs w:val="26"/>
          <w:shd w:val="clear" w:color="auto" w:fill="FFFFFF"/>
        </w:rPr>
      </w:pPr>
      <w:r w:rsidRPr="008D4047">
        <w:rPr>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.8. </w:t>
      </w:r>
      <w:r>
        <w:rPr>
          <w:rFonts w:ascii="Times New Roman" w:hAnsi="Times New Roman" w:cs="Times New Roman"/>
          <w:sz w:val="26"/>
          <w:szCs w:val="26"/>
          <w:shd w:val="clear" w:color="auto" w:fill="FFFFFF"/>
        </w:rPr>
        <w:t>Время выполнения работ не должно превышать нормативного срока выполнения работ и выходить за рамки предельно допустимых дат начала и окончания работ. Работы выполнять с учетом температурного режима в соответствии с технологией выполняемых работ и с учетом характеристик применяемых материалов.</w:t>
      </w:r>
    </w:p>
    <w:p w:rsidR="002E7171" w:rsidRDefault="002E7171" w:rsidP="002E7171">
      <w:pPr>
        <w:spacing w:after="0" w:line="240" w:lineRule="auto"/>
        <w:rPr>
          <w:rFonts w:ascii="Times New Roman" w:hAnsi="Times New Roman" w:cs="Times New Roman"/>
          <w:spacing w:val="2"/>
          <w:sz w:val="26"/>
          <w:szCs w:val="26"/>
          <w:u w:val="single"/>
          <w:shd w:val="clear" w:color="auto" w:fill="FFFFFF"/>
        </w:rPr>
      </w:pPr>
      <w:r>
        <w:rPr>
          <w:rFonts w:ascii="Times New Roman" w:hAnsi="Times New Roman" w:cs="Times New Roman"/>
          <w:spacing w:val="2"/>
          <w:sz w:val="26"/>
          <w:szCs w:val="26"/>
          <w:shd w:val="clear" w:color="auto" w:fill="FFFFFF"/>
        </w:rPr>
        <w:t xml:space="preserve">         5</w:t>
      </w:r>
      <w:r w:rsidRPr="008D4047">
        <w:rPr>
          <w:rFonts w:ascii="Times New Roman" w:hAnsi="Times New Roman" w:cs="Times New Roman"/>
          <w:spacing w:val="2"/>
          <w:sz w:val="26"/>
          <w:szCs w:val="26"/>
          <w:shd w:val="clear" w:color="auto" w:fill="FFFFFF"/>
        </w:rPr>
        <w:t xml:space="preserve">.9. </w:t>
      </w:r>
      <w:r w:rsidRPr="004B17A7">
        <w:rPr>
          <w:rFonts w:ascii="Times New Roman" w:hAnsi="Times New Roman" w:cs="Times New Roman"/>
          <w:spacing w:val="2"/>
          <w:sz w:val="26"/>
          <w:szCs w:val="26"/>
          <w:u w:val="single"/>
          <w:shd w:val="clear" w:color="auto" w:fill="FFFFFF"/>
        </w:rPr>
        <w:t>Проектная документация П24-2018-Н28,</w:t>
      </w:r>
      <w:r w:rsidRPr="004B17A7">
        <w:rPr>
          <w:u w:val="single"/>
        </w:rPr>
        <w:t xml:space="preserve"> </w:t>
      </w:r>
      <w:r w:rsidRPr="004B17A7">
        <w:rPr>
          <w:rFonts w:ascii="Times New Roman" w:hAnsi="Times New Roman" w:cs="Times New Roman"/>
          <w:spacing w:val="2"/>
          <w:sz w:val="26"/>
          <w:szCs w:val="26"/>
          <w:u w:val="single"/>
          <w:shd w:val="clear" w:color="auto" w:fill="FFFFFF"/>
        </w:rPr>
        <w:t>П24-18-Н32,</w:t>
      </w:r>
      <w:r w:rsidRPr="004B17A7">
        <w:rPr>
          <w:u w:val="single"/>
        </w:rPr>
        <w:t xml:space="preserve"> </w:t>
      </w:r>
      <w:r w:rsidRPr="004B17A7">
        <w:rPr>
          <w:rFonts w:ascii="Times New Roman" w:hAnsi="Times New Roman" w:cs="Times New Roman"/>
          <w:spacing w:val="2"/>
          <w:sz w:val="26"/>
          <w:szCs w:val="26"/>
          <w:u w:val="single"/>
          <w:shd w:val="clear" w:color="auto" w:fill="FFFFFF"/>
        </w:rPr>
        <w:t>П24-18-Н34,</w:t>
      </w:r>
      <w:r w:rsidRPr="004B17A7">
        <w:rPr>
          <w:u w:val="single"/>
        </w:rPr>
        <w:t xml:space="preserve"> </w:t>
      </w:r>
      <w:r w:rsidRPr="004B17A7">
        <w:rPr>
          <w:rFonts w:ascii="Times New Roman" w:hAnsi="Times New Roman" w:cs="Times New Roman"/>
          <w:spacing w:val="2"/>
          <w:sz w:val="26"/>
          <w:szCs w:val="26"/>
          <w:u w:val="single"/>
          <w:shd w:val="clear" w:color="auto" w:fill="FFFFFF"/>
        </w:rPr>
        <w:t>П24-18-Н35</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866293" w:rsidRPr="00866293" w:rsidTr="00866293">
        <w:trPr>
          <w:trHeight w:val="315"/>
        </w:trPr>
        <w:tc>
          <w:tcPr>
            <w:tcW w:w="10320" w:type="dxa"/>
            <w:gridSpan w:val="5"/>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b/>
                <w:bCs/>
                <w:lang w:eastAsia="ru-RU"/>
              </w:rPr>
            </w:pPr>
            <w:r w:rsidRPr="00866293">
              <w:rPr>
                <w:rFonts w:ascii="Arial" w:eastAsia="Times New Roman" w:hAnsi="Arial" w:cs="Arial"/>
                <w:b/>
                <w:bCs/>
                <w:lang w:eastAsia="ru-RU"/>
              </w:rPr>
              <w:t>ДЕФЕКТНАЯ ВЕДОМОСТЬ</w:t>
            </w:r>
          </w:p>
        </w:tc>
      </w:tr>
      <w:tr w:rsidR="00866293" w:rsidRPr="00866293" w:rsidTr="00866293">
        <w:trPr>
          <w:trHeight w:val="660"/>
        </w:trPr>
        <w:tc>
          <w:tcPr>
            <w:tcW w:w="10320" w:type="dxa"/>
            <w:gridSpan w:val="5"/>
            <w:tcBorders>
              <w:top w:val="nil"/>
              <w:left w:val="nil"/>
              <w:bottom w:val="nil"/>
              <w:right w:val="nil"/>
            </w:tcBorders>
            <w:shd w:val="clear" w:color="auto" w:fill="auto"/>
            <w:hideMark/>
          </w:tcPr>
          <w:p w:rsidR="00866293" w:rsidRPr="004A50AD" w:rsidRDefault="00866293" w:rsidP="004A50AD">
            <w:pPr>
              <w:spacing w:after="0" w:line="240" w:lineRule="auto"/>
              <w:jc w:val="center"/>
              <w:rPr>
                <w:rFonts w:ascii="Arial" w:eastAsia="Times New Roman" w:hAnsi="Arial" w:cs="Arial"/>
                <w:lang w:eastAsia="ru-RU"/>
              </w:rPr>
            </w:pPr>
            <w:r w:rsidRPr="004A50AD">
              <w:rPr>
                <w:rFonts w:ascii="Arial" w:eastAsia="Times New Roman" w:hAnsi="Arial" w:cs="Arial"/>
                <w:lang w:eastAsia="ru-RU"/>
              </w:rPr>
              <w:t xml:space="preserve">Капитальный ремонт системы теплоснабжения многоквартирного жилого дом, расположенного по адресу:  Красноярский край, г. Норильск, </w:t>
            </w:r>
            <w:r w:rsidR="00A37255" w:rsidRPr="004A50AD">
              <w:rPr>
                <w:rFonts w:ascii="Arial" w:hAnsi="Arial" w:cs="Arial"/>
              </w:rPr>
              <w:t>ул. Нансена д.94</w:t>
            </w: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 xml:space="preserve">№ </w:t>
            </w:r>
            <w:proofErr w:type="spellStart"/>
            <w:r w:rsidRPr="00866293">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Примечание</w:t>
            </w:r>
          </w:p>
        </w:tc>
      </w:tr>
      <w:tr w:rsidR="00866293" w:rsidRPr="00866293" w:rsidTr="00866293">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1. Демонтажные работы</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80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30</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160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2. Вывоз мусора</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3. Отопительные приборы</w:t>
            </w:r>
          </w:p>
        </w:tc>
      </w:tr>
      <w:tr w:rsidR="00866293" w:rsidRPr="00866293" w:rsidTr="00866293">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Радиаторы биметаллические</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137,712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15</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20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Доставка речным транспортом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.К</w:t>
            </w:r>
            <w:proofErr w:type="gramEnd"/>
            <w:r w:rsidRPr="00866293">
              <w:rPr>
                <w:rFonts w:ascii="Arial" w:eastAsia="Times New Roman" w:hAnsi="Arial" w:cs="Arial"/>
                <w:sz w:val="20"/>
                <w:szCs w:val="20"/>
                <w:lang w:eastAsia="ru-RU"/>
              </w:rPr>
              <w:t>расноярск-г.Дудинка</w:t>
            </w:r>
            <w:proofErr w:type="spellEnd"/>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Перевозка грузов автомобилями бортовыми грузоподъемностью до 5 т на расстояние: I класс груза до 89 км (от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.Д</w:t>
            </w:r>
            <w:proofErr w:type="gramEnd"/>
            <w:r w:rsidRPr="00866293">
              <w:rPr>
                <w:rFonts w:ascii="Arial" w:eastAsia="Times New Roman" w:hAnsi="Arial" w:cs="Arial"/>
                <w:sz w:val="20"/>
                <w:szCs w:val="20"/>
                <w:lang w:eastAsia="ru-RU"/>
              </w:rPr>
              <w:t>удинка</w:t>
            </w:r>
            <w:proofErr w:type="spellEnd"/>
            <w:r w:rsidRPr="00866293">
              <w:rPr>
                <w:rFonts w:ascii="Arial" w:eastAsia="Times New Roman" w:hAnsi="Arial" w:cs="Arial"/>
                <w:sz w:val="20"/>
                <w:szCs w:val="20"/>
                <w:lang w:eastAsia="ru-RU"/>
              </w:rPr>
              <w:t xml:space="preserve"> до </w:t>
            </w:r>
            <w:proofErr w:type="spellStart"/>
            <w:r w:rsidRPr="00866293">
              <w:rPr>
                <w:rFonts w:ascii="Arial" w:eastAsia="Times New Roman" w:hAnsi="Arial" w:cs="Arial"/>
                <w:sz w:val="20"/>
                <w:szCs w:val="20"/>
                <w:lang w:eastAsia="ru-RU"/>
              </w:rPr>
              <w:t>г.Норильск</w:t>
            </w:r>
            <w:proofErr w:type="spellEnd"/>
            <w:r w:rsidRPr="00866293">
              <w:rPr>
                <w:rFonts w:ascii="Arial" w:eastAsia="Times New Roman" w:hAnsi="Arial" w:cs="Arial"/>
                <w:sz w:val="20"/>
                <w:szCs w:val="20"/>
                <w:lang w:eastAsia="ru-RU"/>
              </w:rPr>
              <w:t>)</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384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Переходник для </w:t>
            </w:r>
            <w:proofErr w:type="spellStart"/>
            <w:r w:rsidRPr="00866293">
              <w:rPr>
                <w:rFonts w:ascii="Arial" w:eastAsia="Times New Roman" w:hAnsi="Arial" w:cs="Arial"/>
                <w:sz w:val="20"/>
                <w:szCs w:val="20"/>
                <w:lang w:eastAsia="ru-RU"/>
              </w:rPr>
              <w:t>поключения</w:t>
            </w:r>
            <w:proofErr w:type="spellEnd"/>
            <w:r w:rsidRPr="00866293">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Кран шаровой 3/4" бабочка</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4. Трубопроводы</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Труба медная </w:t>
            </w:r>
            <w:proofErr w:type="spellStart"/>
            <w:r w:rsidRPr="00866293">
              <w:rPr>
                <w:rFonts w:ascii="Arial" w:eastAsia="Times New Roman" w:hAnsi="Arial" w:cs="Arial"/>
                <w:sz w:val="20"/>
                <w:szCs w:val="20"/>
                <w:lang w:eastAsia="ru-RU"/>
              </w:rPr>
              <w:t>неотожженная</w:t>
            </w:r>
            <w:proofErr w:type="spellEnd"/>
            <w:r w:rsidRPr="00866293">
              <w:rPr>
                <w:rFonts w:ascii="Arial" w:eastAsia="Times New Roman" w:hAnsi="Arial" w:cs="Arial"/>
                <w:sz w:val="20"/>
                <w:szCs w:val="20"/>
                <w:lang w:eastAsia="ru-RU"/>
              </w:rPr>
              <w:t xml:space="preserve"> </w:t>
            </w:r>
            <w:proofErr w:type="spellStart"/>
            <w:r w:rsidRPr="00866293">
              <w:rPr>
                <w:rFonts w:ascii="Arial" w:eastAsia="Times New Roman" w:hAnsi="Arial" w:cs="Arial"/>
                <w:sz w:val="20"/>
                <w:szCs w:val="20"/>
                <w:lang w:eastAsia="ru-RU"/>
              </w:rPr>
              <w:t>Sanco</w:t>
            </w:r>
            <w:proofErr w:type="spellEnd"/>
            <w:r w:rsidRPr="00866293">
              <w:rPr>
                <w:rFonts w:ascii="Arial" w:eastAsia="Times New Roman" w:hAnsi="Arial" w:cs="Arial"/>
                <w:sz w:val="20"/>
                <w:szCs w:val="20"/>
                <w:lang w:eastAsia="ru-RU"/>
              </w:rPr>
              <w:t xml:space="preserve"> 22*1,0</w:t>
            </w:r>
          </w:p>
        </w:tc>
      </w:tr>
    </w:tbl>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961526" w:rsidRPr="00961526" w:rsidTr="00961526">
        <w:trPr>
          <w:trHeight w:val="315"/>
        </w:trPr>
        <w:tc>
          <w:tcPr>
            <w:tcW w:w="10320" w:type="dxa"/>
            <w:gridSpan w:val="5"/>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b/>
                <w:bCs/>
                <w:lang w:eastAsia="ru-RU"/>
              </w:rPr>
            </w:pPr>
            <w:r w:rsidRPr="00961526">
              <w:rPr>
                <w:rFonts w:ascii="Arial" w:eastAsia="Times New Roman" w:hAnsi="Arial" w:cs="Arial"/>
                <w:b/>
                <w:bCs/>
                <w:lang w:eastAsia="ru-RU"/>
              </w:rPr>
              <w:t xml:space="preserve">ДЕФЕКТНАЯ ВЕДОМОСТЬ </w:t>
            </w:r>
          </w:p>
        </w:tc>
      </w:tr>
      <w:tr w:rsidR="00961526" w:rsidRPr="00961526" w:rsidTr="00961526">
        <w:trPr>
          <w:trHeight w:val="660"/>
        </w:trPr>
        <w:tc>
          <w:tcPr>
            <w:tcW w:w="10320" w:type="dxa"/>
            <w:gridSpan w:val="5"/>
            <w:tcBorders>
              <w:top w:val="nil"/>
              <w:left w:val="nil"/>
              <w:bottom w:val="nil"/>
              <w:right w:val="nil"/>
            </w:tcBorders>
            <w:shd w:val="clear" w:color="auto" w:fill="auto"/>
            <w:hideMark/>
          </w:tcPr>
          <w:p w:rsidR="00961526" w:rsidRPr="00961526" w:rsidRDefault="00961526" w:rsidP="00961526">
            <w:pPr>
              <w:spacing w:after="0" w:line="240" w:lineRule="auto"/>
              <w:jc w:val="center"/>
              <w:rPr>
                <w:rFonts w:ascii="Arial" w:eastAsia="Times New Roman" w:hAnsi="Arial" w:cs="Arial"/>
                <w:lang w:eastAsia="ru-RU"/>
              </w:rPr>
            </w:pPr>
            <w:r w:rsidRPr="00961526">
              <w:rPr>
                <w:rFonts w:ascii="Arial" w:eastAsia="Times New Roman" w:hAnsi="Arial" w:cs="Arial"/>
                <w:lang w:eastAsia="ru-RU"/>
              </w:rPr>
              <w:t>Капитальный ремонт системы теплоснабжения  многоквартирного жилого дома, расположенного по адресу:  Красноярский край, г. Норильск, ул. Набережная Урванцева, 5</w:t>
            </w: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 xml:space="preserve">№ </w:t>
            </w:r>
            <w:proofErr w:type="spellStart"/>
            <w:r w:rsidRPr="00961526">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Примечание</w:t>
            </w:r>
          </w:p>
        </w:tc>
      </w:tr>
      <w:tr w:rsidR="00961526" w:rsidRPr="00961526" w:rsidTr="00961526">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1. Демонтажные работы</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Демонтаж конвекторов</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экм</w:t>
            </w:r>
            <w:proofErr w:type="spellEnd"/>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302,5</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2. Вывоз мусора</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3. Отопительные приборы</w:t>
            </w:r>
          </w:p>
        </w:tc>
      </w:tr>
      <w:tr w:rsidR="00961526" w:rsidRPr="00961526" w:rsidTr="00961526">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Радиаторы биметаллические</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175,46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proofErr w:type="gramStart"/>
            <w:r w:rsidRPr="00961526">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144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15*15*15</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22*15*22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96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4. Трубопроводы</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15*1,0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15*1,0</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22*1,0</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5. Установка кранов</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1/2х1,/2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bl>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системы теплоснабжения, </w:t>
      </w:r>
      <w:r>
        <w:rPr>
          <w:rFonts w:ascii="Times New Roman" w:eastAsia="Times New Roman" w:hAnsi="Times New Roman" w:cs="Times New Roman"/>
          <w:sz w:val="24"/>
          <w:szCs w:val="24"/>
        </w:rPr>
        <w:t>в многоквартирных домах в 2021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16" w:name="RANGE!A1:F280"/>
            <w:bookmarkEnd w:id="16"/>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w:t>
            </w:r>
            <w:r w:rsidR="00A60EE7" w:rsidRPr="0027153A">
              <w:rPr>
                <w:rFonts w:ascii="Times New Roman" w:eastAsia="Times New Roman" w:hAnsi="Times New Roman" w:cs="Times New Roman"/>
                <w:sz w:val="20"/>
                <w:szCs w:val="20"/>
                <w:lang w:eastAsia="ru-RU"/>
              </w:rPr>
              <w:t xml:space="preserve"> </w:t>
            </w:r>
            <w:r w:rsidRPr="0027153A">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4A50AD" w:rsidRDefault="009849B7" w:rsidP="009849B7">
            <w:pPr>
              <w:spacing w:after="0" w:line="240" w:lineRule="auto"/>
              <w:jc w:val="center"/>
              <w:rPr>
                <w:rFonts w:ascii="Times New Roman" w:eastAsia="Times New Roman" w:hAnsi="Times New Roman" w:cs="Times New Roman"/>
                <w:sz w:val="20"/>
                <w:szCs w:val="20"/>
                <w:lang w:eastAsia="ru-RU"/>
              </w:rPr>
            </w:pPr>
            <w:r w:rsidRPr="004A50AD">
              <w:rPr>
                <w:rFonts w:ascii="Times New Roman" w:eastAsia="Times New Roman" w:hAnsi="Times New Roman" w:cs="Times New Roman"/>
                <w:sz w:val="20"/>
                <w:szCs w:val="20"/>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4A50AD" w:rsidRDefault="004A50AD" w:rsidP="00B11136">
            <w:pPr>
              <w:spacing w:after="0" w:line="240" w:lineRule="auto"/>
              <w:rPr>
                <w:rFonts w:ascii="Times New Roman" w:eastAsia="Times New Roman" w:hAnsi="Times New Roman" w:cs="Times New Roman"/>
                <w:sz w:val="20"/>
                <w:szCs w:val="20"/>
                <w:lang w:eastAsia="ru-RU"/>
              </w:rPr>
            </w:pPr>
            <w:r w:rsidRPr="004A50AD">
              <w:rPr>
                <w:rFonts w:ascii="Times New Roman" w:hAnsi="Times New Roman" w:cs="Times New Roman"/>
                <w:sz w:val="20"/>
                <w:szCs w:val="20"/>
              </w:rPr>
              <w:t>ул. Нансена д.94</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4A50A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4A50AD">
              <w:rPr>
                <w:rFonts w:ascii="Times New Roman" w:eastAsia="Times New Roman" w:hAnsi="Times New Roman" w:cs="Times New Roman"/>
                <w:sz w:val="20"/>
                <w:szCs w:val="20"/>
                <w:lang w:eastAsia="ru-RU"/>
              </w:rPr>
              <w:t>87</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1 626 892,80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4A50AD" w:rsidRDefault="009849B7" w:rsidP="009849B7">
            <w:pPr>
              <w:spacing w:after="0" w:line="240" w:lineRule="auto"/>
              <w:jc w:val="center"/>
              <w:rPr>
                <w:rFonts w:ascii="Times New Roman" w:eastAsia="Times New Roman" w:hAnsi="Times New Roman" w:cs="Times New Roman"/>
                <w:sz w:val="20"/>
                <w:szCs w:val="20"/>
                <w:lang w:eastAsia="ru-RU"/>
              </w:rPr>
            </w:pPr>
            <w:r w:rsidRPr="004A50AD">
              <w:rPr>
                <w:rFonts w:ascii="Times New Roman" w:eastAsia="Times New Roman" w:hAnsi="Times New Roman" w:cs="Times New Roman"/>
                <w:sz w:val="20"/>
                <w:szCs w:val="20"/>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4A50AD" w:rsidRDefault="00961526" w:rsidP="009D2984">
            <w:pPr>
              <w:spacing w:after="0" w:line="240" w:lineRule="auto"/>
              <w:rPr>
                <w:rFonts w:ascii="Times New Roman" w:eastAsia="Times New Roman" w:hAnsi="Times New Roman" w:cs="Times New Roman"/>
                <w:sz w:val="20"/>
                <w:szCs w:val="20"/>
                <w:lang w:eastAsia="ru-RU"/>
              </w:rPr>
            </w:pPr>
            <w:r w:rsidRPr="004A50AD">
              <w:rPr>
                <w:rFonts w:ascii="Times New Roman" w:eastAsia="Times New Roman" w:hAnsi="Times New Roman" w:cs="Times New Roman"/>
                <w:sz w:val="20"/>
                <w:szCs w:val="20"/>
                <w:lang w:eastAsia="ru-RU"/>
              </w:rPr>
              <w:t>Ул. Набережная Урванцева д.5</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85</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2 375 974,80</w:t>
            </w:r>
          </w:p>
        </w:tc>
      </w:tr>
      <w:tr w:rsidR="00961526" w:rsidRPr="0027153A" w:rsidTr="00885D00">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61526" w:rsidRPr="0027153A" w:rsidRDefault="00961526"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61526" w:rsidRPr="003817DB" w:rsidRDefault="00961526" w:rsidP="00B1113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b/>
                <w:bCs/>
              </w:rPr>
              <w:t>4 002 867,60</w:t>
            </w:r>
          </w:p>
        </w:tc>
      </w:tr>
      <w:tr w:rsidR="00961526" w:rsidRPr="004A50AD"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bookmarkStart w:id="17" w:name="_GoBack"/>
        <w:bookmarkEnd w:id="17"/>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4B" w:rsidRDefault="005A694B" w:rsidP="00BF5F19">
      <w:pPr>
        <w:spacing w:after="0" w:line="240" w:lineRule="auto"/>
      </w:pPr>
      <w:r>
        <w:separator/>
      </w:r>
    </w:p>
  </w:endnote>
  <w:endnote w:type="continuationSeparator" w:id="0">
    <w:p w:rsidR="005A694B" w:rsidRDefault="005A694B"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4B" w:rsidRDefault="005A694B" w:rsidP="00BF5F19">
      <w:pPr>
        <w:spacing w:after="0" w:line="240" w:lineRule="auto"/>
      </w:pPr>
      <w:r>
        <w:separator/>
      </w:r>
    </w:p>
  </w:footnote>
  <w:footnote w:type="continuationSeparator" w:id="0">
    <w:p w:rsidR="005A694B" w:rsidRDefault="005A694B"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42C5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9">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1">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94B6B7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nsid w:val="2BFA5E7B"/>
    <w:multiLevelType w:val="hybridMultilevel"/>
    <w:tmpl w:val="CD0E5062"/>
    <w:lvl w:ilvl="0" w:tplc="B84E1750">
      <w:start w:val="1"/>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EBC2D3B"/>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7">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1">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6184866"/>
    <w:multiLevelType w:val="hybridMultilevel"/>
    <w:tmpl w:val="122218D8"/>
    <w:lvl w:ilvl="0" w:tplc="57D4B4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4">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5">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4"/>
  </w:num>
  <w:num w:numId="3">
    <w:abstractNumId w:val="37"/>
  </w:num>
  <w:num w:numId="4">
    <w:abstractNumId w:val="25"/>
  </w:num>
  <w:num w:numId="5">
    <w:abstractNumId w:val="20"/>
  </w:num>
  <w:num w:numId="6">
    <w:abstractNumId w:val="19"/>
  </w:num>
  <w:num w:numId="7">
    <w:abstractNumId w:val="1"/>
  </w:num>
  <w:num w:numId="8">
    <w:abstractNumId w:val="3"/>
  </w:num>
  <w:num w:numId="9">
    <w:abstractNumId w:val="17"/>
  </w:num>
  <w:num w:numId="10">
    <w:abstractNumId w:val="8"/>
  </w:num>
  <w:num w:numId="11">
    <w:abstractNumId w:val="38"/>
  </w:num>
  <w:num w:numId="12">
    <w:abstractNumId w:val="6"/>
  </w:num>
  <w:num w:numId="13">
    <w:abstractNumId w:val="5"/>
  </w:num>
  <w:num w:numId="14">
    <w:abstractNumId w:val="21"/>
  </w:num>
  <w:num w:numId="15">
    <w:abstractNumId w:val="35"/>
  </w:num>
  <w:num w:numId="16">
    <w:abstractNumId w:val="15"/>
  </w:num>
  <w:num w:numId="17">
    <w:abstractNumId w:val="7"/>
  </w:num>
  <w:num w:numId="18">
    <w:abstractNumId w:val="29"/>
  </w:num>
  <w:num w:numId="19">
    <w:abstractNumId w:val="0"/>
  </w:num>
  <w:num w:numId="20">
    <w:abstractNumId w:val="36"/>
  </w:num>
  <w:num w:numId="21">
    <w:abstractNumId w:val="34"/>
  </w:num>
  <w:num w:numId="22">
    <w:abstractNumId w:val="26"/>
  </w:num>
  <w:num w:numId="23">
    <w:abstractNumId w:val="39"/>
  </w:num>
  <w:num w:numId="24">
    <w:abstractNumId w:val="31"/>
  </w:num>
  <w:num w:numId="25">
    <w:abstractNumId w:val="9"/>
  </w:num>
  <w:num w:numId="26">
    <w:abstractNumId w:val="11"/>
  </w:num>
  <w:num w:numId="27">
    <w:abstractNumId w:val="22"/>
  </w:num>
  <w:num w:numId="28">
    <w:abstractNumId w:val="30"/>
  </w:num>
  <w:num w:numId="29">
    <w:abstractNumId w:val="32"/>
  </w:num>
  <w:num w:numId="30">
    <w:abstractNumId w:val="12"/>
  </w:num>
  <w:num w:numId="31">
    <w:abstractNumId w:val="23"/>
  </w:num>
  <w:num w:numId="32">
    <w:abstractNumId w:val="4"/>
  </w:num>
  <w:num w:numId="33">
    <w:abstractNumId w:val="33"/>
  </w:num>
  <w:num w:numId="34">
    <w:abstractNumId w:val="40"/>
  </w:num>
  <w:num w:numId="35">
    <w:abstractNumId w:val="27"/>
  </w:num>
  <w:num w:numId="36">
    <w:abstractNumId w:val="13"/>
  </w:num>
  <w:num w:numId="37">
    <w:abstractNumId w:val="16"/>
  </w:num>
  <w:num w:numId="38">
    <w:abstractNumId w:val="14"/>
  </w:num>
  <w:num w:numId="39">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3929"/>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5950"/>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221"/>
    <w:rsid w:val="004473A5"/>
    <w:rsid w:val="004505FC"/>
    <w:rsid w:val="00451153"/>
    <w:rsid w:val="0045345A"/>
    <w:rsid w:val="0046211B"/>
    <w:rsid w:val="0046485B"/>
    <w:rsid w:val="00466BAE"/>
    <w:rsid w:val="004726E9"/>
    <w:rsid w:val="00473912"/>
    <w:rsid w:val="004746C2"/>
    <w:rsid w:val="0048329B"/>
    <w:rsid w:val="0048368D"/>
    <w:rsid w:val="0048435C"/>
    <w:rsid w:val="00492E6B"/>
    <w:rsid w:val="00495BCE"/>
    <w:rsid w:val="004979B6"/>
    <w:rsid w:val="004A07FE"/>
    <w:rsid w:val="004A50AD"/>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94B"/>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1A9"/>
    <w:rsid w:val="00720A60"/>
    <w:rsid w:val="00722158"/>
    <w:rsid w:val="00725F6F"/>
    <w:rsid w:val="00727265"/>
    <w:rsid w:val="007363C7"/>
    <w:rsid w:val="00741A57"/>
    <w:rsid w:val="007434DF"/>
    <w:rsid w:val="007435C2"/>
    <w:rsid w:val="00745396"/>
    <w:rsid w:val="00745576"/>
    <w:rsid w:val="007464FD"/>
    <w:rsid w:val="00750505"/>
    <w:rsid w:val="00750E05"/>
    <w:rsid w:val="00755C61"/>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255"/>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B0152"/>
    <w:rsid w:val="00AB0A8E"/>
    <w:rsid w:val="00AB2AA5"/>
    <w:rsid w:val="00AB30DD"/>
    <w:rsid w:val="00AB3C09"/>
    <w:rsid w:val="00AB4B83"/>
    <w:rsid w:val="00AB617B"/>
    <w:rsid w:val="00AC4917"/>
    <w:rsid w:val="00AC6FA6"/>
    <w:rsid w:val="00AD4E45"/>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12CA"/>
    <w:rsid w:val="00C7337C"/>
    <w:rsid w:val="00C74256"/>
    <w:rsid w:val="00C74810"/>
    <w:rsid w:val="00C86DD7"/>
    <w:rsid w:val="00C91752"/>
    <w:rsid w:val="00C949F1"/>
    <w:rsid w:val="00CA1C24"/>
    <w:rsid w:val="00CA2CB5"/>
    <w:rsid w:val="00CA5A9B"/>
    <w:rsid w:val="00CB2903"/>
    <w:rsid w:val="00CB630A"/>
    <w:rsid w:val="00CC500D"/>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545B"/>
    <w:rsid w:val="00E1158D"/>
    <w:rsid w:val="00E152C3"/>
    <w:rsid w:val="00E23B4F"/>
    <w:rsid w:val="00E24986"/>
    <w:rsid w:val="00E25A2B"/>
    <w:rsid w:val="00E31477"/>
    <w:rsid w:val="00E3367B"/>
    <w:rsid w:val="00E3485C"/>
    <w:rsid w:val="00E3522B"/>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14B1E-6D90-4FD8-822A-A0B416274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7729</TotalTime>
  <Pages>1</Pages>
  <Words>15343</Words>
  <Characters>87460</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438</cp:revision>
  <cp:lastPrinted>2021-04-12T10:34:00Z</cp:lastPrinted>
  <dcterms:created xsi:type="dcterms:W3CDTF">2016-02-24T09:43:00Z</dcterms:created>
  <dcterms:modified xsi:type="dcterms:W3CDTF">2021-05-14T05:36:00Z</dcterms:modified>
</cp:coreProperties>
</file>