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C46811">
        <w:rPr>
          <w:rFonts w:ascii="Times New Roman" w:eastAsia="Times New Roman" w:hAnsi="Times New Roman" w:cs="Times New Roman"/>
          <w:b/>
          <w:kern w:val="32"/>
          <w:sz w:val="24"/>
          <w:szCs w:val="24"/>
          <w:lang w:eastAsia="ru-RU"/>
        </w:rPr>
        <w:t>10</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w:t>
      </w:r>
      <w:r w:rsidR="00C46811">
        <w:rPr>
          <w:rFonts w:ascii="Times New Roman" w:eastAsia="Times New Roman" w:hAnsi="Times New Roman" w:cs="Times New Roman"/>
          <w:b/>
          <w:kern w:val="32"/>
          <w:sz w:val="24"/>
          <w:szCs w:val="24"/>
          <w:lang w:eastAsia="ru-RU"/>
        </w:rPr>
        <w:t>4</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C46811">
        <w:rPr>
          <w:rFonts w:ascii="Times New Roman" w:eastAsia="Times New Roman" w:hAnsi="Times New Roman" w:cs="Times New Roman"/>
          <w:b/>
          <w:kern w:val="32"/>
          <w:sz w:val="24"/>
          <w:szCs w:val="24"/>
          <w:lang w:eastAsia="ru-RU"/>
        </w:rPr>
        <w:t>мая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системы теплоснабжения, </w:t>
      </w:r>
      <w:r>
        <w:rPr>
          <w:rFonts w:ascii="Times New Roman" w:eastAsia="Times New Roman" w:hAnsi="Times New Roman" w:cs="Times New Roman"/>
          <w:sz w:val="24"/>
          <w:szCs w:val="24"/>
          <w:lang w:eastAsia="ru-RU"/>
        </w:rPr>
        <w:t>в многоквартирных домах в 2021году.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C46811"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lastRenderedPageBreak/>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5C446B" w:rsidRDefault="005C446B" w:rsidP="005C446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r w:rsidR="00C46811">
              <w:rPr>
                <w:rFonts w:ascii="Times New Roman" w:hAnsi="Times New Roman"/>
                <w:sz w:val="26"/>
                <w:szCs w:val="26"/>
              </w:rPr>
              <w:t>Нансена д.94</w:t>
            </w:r>
          </w:p>
          <w:p w:rsidR="00332176" w:rsidRPr="00145529" w:rsidRDefault="00D5230A" w:rsidP="005C446B">
            <w:pPr>
              <w:pStyle w:val="a5"/>
              <w:widowControl w:val="0"/>
              <w:numPr>
                <w:ilvl w:val="0"/>
                <w:numId w:val="31"/>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005C446B" w:rsidRPr="005C446B">
              <w:rPr>
                <w:rFonts w:ascii="Times New Roman" w:hAnsi="Times New Roman"/>
                <w:sz w:val="26"/>
                <w:szCs w:val="26"/>
              </w:rPr>
              <w:t>Набережная Урванцева д.5</w:t>
            </w:r>
          </w:p>
          <w:p w:rsidR="00FF11C8" w:rsidRPr="001269C0" w:rsidRDefault="00FF11C8" w:rsidP="005C446B">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5C446B">
              <w:rPr>
                <w:rFonts w:ascii="Times New Roman" w:hAnsi="Times New Roman" w:cs="Times New Roman"/>
                <w:sz w:val="24"/>
                <w:szCs w:val="24"/>
              </w:rPr>
              <w:t>25.08</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21</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5C446B">
              <w:rPr>
                <w:rFonts w:ascii="Times New Roman" w:hAnsi="Times New Roman" w:cs="Times New Roman"/>
                <w:b/>
                <w:bCs/>
              </w:rPr>
              <w:t>4 002 867,60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473252">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473252">
              <w:rPr>
                <w:rFonts w:ascii="Times New Roman" w:hAnsi="Times New Roman" w:cs="Times New Roman"/>
                <w:sz w:val="24"/>
                <w:szCs w:val="24"/>
              </w:rPr>
              <w:t>23.04</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21</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окончания срока подачи заявок на участие в конкурсе (по </w:t>
            </w:r>
            <w:r w:rsidRPr="00145529">
              <w:rPr>
                <w:rFonts w:ascii="Times New Roman" w:hAnsi="Times New Roman" w:cs="Times New Roman"/>
                <w:sz w:val="24"/>
                <w:szCs w:val="24"/>
              </w:rPr>
              <w:lastRenderedPageBreak/>
              <w:t>местному времени):</w:t>
            </w:r>
          </w:p>
        </w:tc>
        <w:tc>
          <w:tcPr>
            <w:tcW w:w="6583" w:type="dxa"/>
          </w:tcPr>
          <w:p w:rsidR="00CA1F10" w:rsidRPr="00145529" w:rsidRDefault="00473252" w:rsidP="00C46811">
            <w:pPr>
              <w:pStyle w:val="ConsPlusNormal"/>
              <w:rPr>
                <w:rFonts w:ascii="Times New Roman" w:hAnsi="Times New Roman" w:cs="Times New Roman"/>
                <w:sz w:val="24"/>
                <w:szCs w:val="24"/>
              </w:rPr>
            </w:pPr>
            <w:r>
              <w:rPr>
                <w:rFonts w:ascii="Times New Roman" w:hAnsi="Times New Roman" w:cs="Times New Roman"/>
                <w:sz w:val="24"/>
                <w:szCs w:val="24"/>
              </w:rPr>
              <w:lastRenderedPageBreak/>
              <w:t>2</w:t>
            </w:r>
            <w:r w:rsidR="00C46811">
              <w:rPr>
                <w:rFonts w:ascii="Times New Roman" w:hAnsi="Times New Roman" w:cs="Times New Roman"/>
                <w:sz w:val="24"/>
                <w:szCs w:val="24"/>
              </w:rPr>
              <w:t>5</w:t>
            </w:r>
            <w:r>
              <w:rPr>
                <w:rFonts w:ascii="Times New Roman" w:hAnsi="Times New Roman" w:cs="Times New Roman"/>
                <w:sz w:val="24"/>
                <w:szCs w:val="24"/>
              </w:rPr>
              <w:t>.0</w:t>
            </w:r>
            <w:r w:rsidR="00C46811">
              <w:rPr>
                <w:rFonts w:ascii="Times New Roman" w:hAnsi="Times New Roman" w:cs="Times New Roman"/>
                <w:sz w:val="24"/>
                <w:szCs w:val="24"/>
              </w:rPr>
              <w:t>5</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вскрытия конвертов с заявками на участие в конкурсе (по местному времени):</w:t>
            </w:r>
          </w:p>
        </w:tc>
        <w:tc>
          <w:tcPr>
            <w:tcW w:w="6583" w:type="dxa"/>
          </w:tcPr>
          <w:p w:rsidR="00F85C25" w:rsidRPr="00145529" w:rsidRDefault="00473252" w:rsidP="00C46811">
            <w:pPr>
              <w:pStyle w:val="ConsPlusNormal"/>
              <w:rPr>
                <w:rFonts w:ascii="Times New Roman" w:hAnsi="Times New Roman" w:cs="Times New Roman"/>
                <w:sz w:val="24"/>
                <w:szCs w:val="24"/>
              </w:rPr>
            </w:pPr>
            <w:r>
              <w:rPr>
                <w:rFonts w:ascii="Times New Roman" w:hAnsi="Times New Roman" w:cs="Times New Roman"/>
                <w:sz w:val="24"/>
                <w:szCs w:val="24"/>
              </w:rPr>
              <w:t>26.0</w:t>
            </w:r>
            <w:r w:rsidR="00C46811">
              <w:rPr>
                <w:rFonts w:ascii="Times New Roman" w:hAnsi="Times New Roman" w:cs="Times New Roman"/>
                <w:sz w:val="24"/>
                <w:szCs w:val="24"/>
              </w:rPr>
              <w:t>5</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473252" w:rsidP="00C4681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3</w:t>
            </w:r>
            <w:r w:rsidR="00C46811">
              <w:rPr>
                <w:rFonts w:ascii="Times New Roman" w:hAnsi="Times New Roman" w:cs="Times New Roman"/>
                <w:sz w:val="24"/>
                <w:szCs w:val="24"/>
              </w:rPr>
              <w:t>1</w:t>
            </w:r>
            <w:r>
              <w:rPr>
                <w:rFonts w:ascii="Times New Roman" w:hAnsi="Times New Roman" w:cs="Times New Roman"/>
                <w:sz w:val="24"/>
                <w:szCs w:val="24"/>
              </w:rPr>
              <w:t>.0</w:t>
            </w:r>
            <w:r w:rsidR="00C46811">
              <w:rPr>
                <w:rFonts w:ascii="Times New Roman" w:hAnsi="Times New Roman" w:cs="Times New Roman"/>
                <w:sz w:val="24"/>
                <w:szCs w:val="24"/>
              </w:rPr>
              <w:t>5</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21</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xml:space="preserve">) документы, подтверждающие опыт работы (количество успешно завершенных объектов </w:t>
            </w:r>
            <w:r w:rsidRPr="00DD1C48">
              <w:rPr>
                <w:rFonts w:ascii="Times New Roman" w:hAnsi="Times New Roman" w:cs="Times New Roman"/>
                <w:sz w:val="24"/>
                <w:szCs w:val="24"/>
              </w:rPr>
              <w:lastRenderedPageBreak/>
              <w:t>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2">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1"/>
  </w:num>
  <w:num w:numId="11">
    <w:abstractNumId w:val="15"/>
  </w:num>
  <w:num w:numId="12">
    <w:abstractNumId w:val="27"/>
  </w:num>
  <w:num w:numId="13">
    <w:abstractNumId w:val="3"/>
  </w:num>
  <w:num w:numId="14">
    <w:abstractNumId w:val="2"/>
  </w:num>
  <w:num w:numId="15">
    <w:abstractNumId w:val="33"/>
  </w:num>
  <w:num w:numId="16">
    <w:abstractNumId w:val="36"/>
  </w:num>
  <w:num w:numId="17">
    <w:abstractNumId w:val="12"/>
  </w:num>
  <w:num w:numId="18">
    <w:abstractNumId w:val="8"/>
  </w:num>
  <w:num w:numId="19">
    <w:abstractNumId w:val="13"/>
  </w:num>
  <w:num w:numId="20">
    <w:abstractNumId w:val="16"/>
  </w:num>
  <w:num w:numId="21">
    <w:abstractNumId w:val="20"/>
  </w:num>
  <w:num w:numId="22">
    <w:abstractNumId w:val="30"/>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8"/>
  </w:num>
  <w:num w:numId="30">
    <w:abstractNumId w:val="4"/>
  </w:num>
  <w:num w:numId="31">
    <w:abstractNumId w:val="23"/>
  </w:num>
  <w:num w:numId="32">
    <w:abstractNumId w:val="29"/>
  </w:num>
  <w:num w:numId="33">
    <w:abstractNumId w:val="18"/>
  </w:num>
  <w:num w:numId="34">
    <w:abstractNumId w:val="35"/>
  </w:num>
  <w:num w:numId="35">
    <w:abstractNumId w:val="32"/>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252"/>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6811"/>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135D"/>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FAB7-C403-4BFF-8526-E594057C4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1</Pages>
  <Words>1452</Words>
  <Characters>8279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239</cp:revision>
  <cp:lastPrinted>2021-05-14T05:24:00Z</cp:lastPrinted>
  <dcterms:created xsi:type="dcterms:W3CDTF">2017-04-17T05:53:00Z</dcterms:created>
  <dcterms:modified xsi:type="dcterms:W3CDTF">2021-05-14T05:24:00Z</dcterms:modified>
</cp:coreProperties>
</file>